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69" w:rsidRPr="00226E69" w:rsidRDefault="00226E69" w:rsidP="0022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>ГЛАВА</w:t>
      </w:r>
    </w:p>
    <w:p w:rsidR="00226E69" w:rsidRPr="00226E69" w:rsidRDefault="00226E69" w:rsidP="0022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>ГОРОДА ЛОБНЯ</w:t>
      </w:r>
    </w:p>
    <w:p w:rsidR="00226E69" w:rsidRPr="00226E69" w:rsidRDefault="00226E69" w:rsidP="0022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>МОСКОВСКОЙ ОБЛАСТИ</w:t>
      </w:r>
    </w:p>
    <w:p w:rsidR="00226E69" w:rsidRPr="00226E69" w:rsidRDefault="00226E69" w:rsidP="0022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>ПОСТАНОВЛЕНИЕ</w:t>
      </w:r>
    </w:p>
    <w:p w:rsidR="00226E69" w:rsidRPr="00226E69" w:rsidRDefault="00226E69" w:rsidP="0022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="002C57D7" w:rsidRPr="00E86437">
        <w:rPr>
          <w:rFonts w:ascii="Arial" w:eastAsia="Calibri" w:hAnsi="Arial" w:cs="Arial"/>
          <w:bCs/>
          <w:color w:val="00000A"/>
          <w:sz w:val="24"/>
          <w:szCs w:val="24"/>
        </w:rPr>
        <w:t>24.07.2020 № 707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«Предпринимательство» на 2020-2024 годы, 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E86437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E86437">
        <w:rPr>
          <w:rFonts w:ascii="Arial" w:hAnsi="Arial" w:cs="Arial"/>
          <w:sz w:val="24"/>
          <w:szCs w:val="24"/>
        </w:rPr>
        <w:t>65</w:t>
      </w:r>
      <w:r w:rsidRPr="00E8643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 и с целью актуализации муниципальной программы городского округа Лобня Московской области «Предпринимательство» на 2020-2024 годы,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Постановляю: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26E69" w:rsidRPr="00E86437" w:rsidRDefault="00226E69" w:rsidP="00226E69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1.  Внести изменения в муниципальную программу «Предпринимательство» на 2020-2024 годы утвержденную постановлением Главы городского округа Лобня от 27.12.2019 года №1865.</w:t>
      </w:r>
    </w:p>
    <w:p w:rsidR="00226E69" w:rsidRPr="00E86437" w:rsidRDefault="00226E69" w:rsidP="00226E69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«Предпринимательство»</w:t>
      </w:r>
      <w:r w:rsidRPr="00E8643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 к постановлению Главы городского округа Лобня </w:t>
      </w:r>
      <w:r w:rsidRPr="00E86437">
        <w:rPr>
          <w:rFonts w:ascii="Arial" w:hAnsi="Arial" w:cs="Arial"/>
          <w:sz w:val="24"/>
          <w:szCs w:val="24"/>
        </w:rPr>
        <w:t>от 27.12.2019 года №1865</w:t>
      </w:r>
      <w:r w:rsidRPr="00E8643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643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226E69" w:rsidRPr="00E86437" w:rsidRDefault="00226E69" w:rsidP="00226E69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E86437">
        <w:rPr>
          <w:rFonts w:ascii="Arial" w:hAnsi="Arial" w:cs="Arial"/>
          <w:sz w:val="24"/>
          <w:szCs w:val="24"/>
          <w:lang w:val="en-US"/>
        </w:rPr>
        <w:t>I</w:t>
      </w:r>
      <w:r w:rsidRPr="00E86437">
        <w:rPr>
          <w:rFonts w:ascii="Arial" w:hAnsi="Arial" w:cs="Arial"/>
          <w:sz w:val="24"/>
          <w:szCs w:val="24"/>
        </w:rPr>
        <w:t xml:space="preserve"> «Инвестиции» </w:t>
      </w:r>
      <w:r w:rsidRPr="00E8643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 к постановлению Главы городского округа Лобня </w:t>
      </w:r>
      <w:r w:rsidRPr="00E86437">
        <w:rPr>
          <w:rFonts w:ascii="Arial" w:hAnsi="Arial" w:cs="Arial"/>
          <w:sz w:val="24"/>
          <w:szCs w:val="24"/>
        </w:rPr>
        <w:t>от 27.12.2019 года №1865</w:t>
      </w:r>
      <w:r w:rsidRPr="00E8643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643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226E69" w:rsidRPr="00E86437" w:rsidRDefault="00226E69" w:rsidP="00226E69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E86437">
        <w:rPr>
          <w:rFonts w:ascii="Arial" w:hAnsi="Arial" w:cs="Arial"/>
          <w:sz w:val="24"/>
          <w:szCs w:val="24"/>
          <w:lang w:val="en-US"/>
        </w:rPr>
        <w:t>II</w:t>
      </w:r>
      <w:r w:rsidRPr="00E86437">
        <w:rPr>
          <w:rFonts w:ascii="Arial" w:hAnsi="Arial" w:cs="Arial"/>
          <w:sz w:val="24"/>
          <w:szCs w:val="24"/>
        </w:rPr>
        <w:t xml:space="preserve"> «Развитие конкуренции» </w:t>
      </w:r>
      <w:r w:rsidRPr="00E8643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городского округа Лобня </w:t>
      </w:r>
      <w:r w:rsidRPr="00E86437">
        <w:rPr>
          <w:rFonts w:ascii="Arial" w:hAnsi="Arial" w:cs="Arial"/>
          <w:sz w:val="24"/>
          <w:szCs w:val="24"/>
        </w:rPr>
        <w:t>от 27.12.2019 года №1865</w:t>
      </w:r>
      <w:r w:rsidRPr="00E8643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643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226E69" w:rsidRPr="00E86437" w:rsidRDefault="00226E69" w:rsidP="00226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26E69" w:rsidRPr="00E86437" w:rsidRDefault="00226E69" w:rsidP="00226E6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E86437">
          <w:rPr>
            <w:rFonts w:ascii="Arial" w:hAnsi="Arial" w:cs="Arial"/>
            <w:sz w:val="24"/>
            <w:szCs w:val="24"/>
          </w:rPr>
          <w:t>www.лобня</w:t>
        </w:r>
      </w:hyperlink>
      <w:r w:rsidRPr="00E8643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437">
        <w:rPr>
          <w:rFonts w:ascii="Arial" w:hAnsi="Arial" w:cs="Arial"/>
          <w:sz w:val="24"/>
          <w:szCs w:val="24"/>
        </w:rPr>
        <w:t>рф</w:t>
      </w:r>
      <w:proofErr w:type="spellEnd"/>
      <w:r w:rsidRPr="00E86437">
        <w:rPr>
          <w:rFonts w:ascii="Arial" w:hAnsi="Arial" w:cs="Arial"/>
          <w:sz w:val="24"/>
          <w:szCs w:val="24"/>
        </w:rPr>
        <w:t>.</w:t>
      </w:r>
    </w:p>
    <w:p w:rsidR="00226E69" w:rsidRPr="00E86437" w:rsidRDefault="00226E69" w:rsidP="00226E69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E86437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E86437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226E69" w:rsidRPr="00E86437" w:rsidRDefault="00226E69" w:rsidP="00226E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53F" w:rsidRPr="00E86437" w:rsidRDefault="0049653F">
      <w:pPr>
        <w:rPr>
          <w:rFonts w:ascii="Arial" w:hAnsi="Arial" w:cs="Arial"/>
          <w:sz w:val="24"/>
          <w:szCs w:val="24"/>
        </w:rPr>
      </w:pPr>
    </w:p>
    <w:p w:rsidR="0035156C" w:rsidRPr="00E86437" w:rsidRDefault="0035156C">
      <w:pPr>
        <w:rPr>
          <w:rFonts w:ascii="Arial" w:hAnsi="Arial" w:cs="Arial"/>
          <w:sz w:val="24"/>
          <w:szCs w:val="24"/>
        </w:rPr>
      </w:pPr>
    </w:p>
    <w:p w:rsidR="0035156C" w:rsidRPr="00E86437" w:rsidRDefault="0035156C">
      <w:pPr>
        <w:rPr>
          <w:rFonts w:ascii="Arial" w:hAnsi="Arial" w:cs="Arial"/>
          <w:sz w:val="24"/>
          <w:szCs w:val="24"/>
        </w:rPr>
      </w:pPr>
    </w:p>
    <w:p w:rsidR="0035156C" w:rsidRPr="00E86437" w:rsidRDefault="0035156C">
      <w:pPr>
        <w:rPr>
          <w:rFonts w:ascii="Arial" w:hAnsi="Arial" w:cs="Arial"/>
          <w:sz w:val="24"/>
          <w:szCs w:val="24"/>
        </w:rPr>
      </w:pPr>
    </w:p>
    <w:p w:rsidR="0035156C" w:rsidRPr="00E86437" w:rsidRDefault="0035156C">
      <w:pPr>
        <w:rPr>
          <w:rFonts w:ascii="Arial" w:hAnsi="Arial" w:cs="Arial"/>
          <w:sz w:val="24"/>
          <w:szCs w:val="24"/>
        </w:rPr>
      </w:pPr>
    </w:p>
    <w:p w:rsidR="0035156C" w:rsidRPr="00E86437" w:rsidRDefault="0035156C">
      <w:pPr>
        <w:rPr>
          <w:rFonts w:ascii="Arial" w:hAnsi="Arial" w:cs="Arial"/>
          <w:sz w:val="24"/>
          <w:szCs w:val="24"/>
        </w:rPr>
      </w:pPr>
    </w:p>
    <w:p w:rsidR="0035156C" w:rsidRPr="00E86437" w:rsidRDefault="0035156C">
      <w:pPr>
        <w:rPr>
          <w:rFonts w:ascii="Arial" w:hAnsi="Arial" w:cs="Arial"/>
          <w:sz w:val="24"/>
          <w:szCs w:val="24"/>
        </w:rPr>
        <w:sectPr w:rsidR="0035156C" w:rsidRPr="00E86437" w:rsidSect="00E8643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E86437" w:rsidRPr="00226E69" w:rsidRDefault="00E86437" w:rsidP="00E86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E86437">
        <w:rPr>
          <w:rFonts w:ascii="Arial" w:eastAsia="Calibri" w:hAnsi="Arial" w:cs="Arial"/>
          <w:bCs/>
          <w:color w:val="00000A"/>
          <w:sz w:val="24"/>
          <w:szCs w:val="24"/>
        </w:rPr>
        <w:t>24.07.2020 № 707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Приложение № 2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от 27.12.2019 № 1865</w:t>
      </w:r>
    </w:p>
    <w:p w:rsidR="00E86437" w:rsidRPr="00E86437" w:rsidRDefault="00E86437" w:rsidP="00E86437">
      <w:pPr>
        <w:pStyle w:val="ConsPlusNormal"/>
        <w:spacing w:before="220"/>
        <w:rPr>
          <w:rFonts w:ascii="Arial" w:hAnsi="Arial" w:cs="Arial"/>
          <w:sz w:val="24"/>
          <w:szCs w:val="24"/>
        </w:rPr>
      </w:pPr>
    </w:p>
    <w:p w:rsidR="00E86437" w:rsidRPr="00E86437" w:rsidRDefault="00E86437" w:rsidP="00E86437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Планируемые </w:t>
      </w:r>
      <w:hyperlink r:id="rId6" w:history="1">
        <w:r w:rsidRPr="00E86437">
          <w:rPr>
            <w:rFonts w:ascii="Arial" w:hAnsi="Arial" w:cs="Arial"/>
            <w:sz w:val="24"/>
            <w:szCs w:val="24"/>
          </w:rPr>
          <w:t>результаты</w:t>
        </w:r>
      </w:hyperlink>
      <w:r w:rsidRPr="00E86437">
        <w:rPr>
          <w:rFonts w:ascii="Arial" w:hAnsi="Arial" w:cs="Arial"/>
          <w:sz w:val="24"/>
          <w:szCs w:val="24"/>
        </w:rPr>
        <w:t xml:space="preserve"> реализации муниципальной программы «Предпринимательство»</w:t>
      </w:r>
    </w:p>
    <w:p w:rsidR="00E86437" w:rsidRPr="00E86437" w:rsidRDefault="00E86437" w:rsidP="00E86437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730"/>
        <w:gridCol w:w="1275"/>
        <w:gridCol w:w="1276"/>
        <w:gridCol w:w="992"/>
        <w:gridCol w:w="1103"/>
        <w:gridCol w:w="961"/>
        <w:gridCol w:w="1620"/>
      </w:tblGrid>
      <w:tr w:rsidR="00E86437" w:rsidRPr="00E86437" w:rsidTr="00E8643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86437" w:rsidRPr="00E86437" w:rsidTr="00E86437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86437" w:rsidRPr="00E86437" w:rsidTr="00E86437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Объем инвестиций, привлеченных в основной капитал (без учета бюджетных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инвестиций), на душу населения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25,22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02.«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 xml:space="preserve">Создание многофункциональных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индустриальных парков, технологических парков, промышленных площадок»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79,38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02.«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>Создание многофункциональных индустриальных парков, технологических парков, промышленных площадок»</w:t>
            </w:r>
          </w:p>
        </w:tc>
      </w:tr>
      <w:tr w:rsidR="00E86437" w:rsidRPr="00E86437" w:rsidTr="00E86437">
        <w:trPr>
          <w:trHeight w:val="11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3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многофункциональных индустриальных парков, технологических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парков, промышленных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02.«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 xml:space="preserve">Создание многофункциональных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индустриальных парков, технологических парков, промышленных площадок»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5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Площадь территории, на которую привлечены новые резиденты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(показатель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07. Организация работ по поддержке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и развитию промышленного потенциала.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6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Указной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несырьевых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ВДЛ (Указ Президента РФ № 193)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Объем инвестиций в основной капитал, за исключением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ВДЛ (Указ Президента РФ № 193)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тыс.руб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2683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07. Организация работ по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поддержке и развитию промышленного потенциала.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9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640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конкуренции»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опубликованных торгов)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(показатель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закона 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Федерального закона 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Федерального закона 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Доля закупок среди субъектов малого и среднего предпринимательства, социально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02. Развитие конкурентно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 xml:space="preserve">й среды в рамках Федерального закона 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Федерального закона 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реализованных требований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spacing w:before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spacing w:before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spacing w:before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03.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Реализация комплекса мер по содействию развитию конкуренции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малого и среднего предпринимательства»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Указной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(Указ 607)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</w:t>
            </w:r>
            <w:r w:rsidRPr="00E8643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86437">
              <w:rPr>
                <w:rFonts w:ascii="Arial" w:hAnsi="Arial" w:cs="Arial"/>
                <w:sz w:val="24"/>
                <w:szCs w:val="24"/>
              </w:rPr>
              <w:t>,</w:t>
            </w:r>
            <w:r w:rsidRPr="00E8643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16,96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17,09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 «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Число субъектов малого и среднего предпринимательств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в расчете на 10 тыс. человек населения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Указной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(Указ 607)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</w:t>
            </w:r>
            <w:r w:rsidRPr="00E86437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43</w:t>
            </w:r>
            <w:r w:rsidRPr="00E8643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 «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механизмов муниципальной поддержки субъектов малого и среднего предпринимательства»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 «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Вновь созданные предприятия МСП в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сфере производства или услуг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Обращение Губернатора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Федеральный проект «Популяризация предпринимательства»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0,008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0,006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11424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12132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12750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самозанятых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самозанятых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, нарастающим итогом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 «Развитие потребительского рынка и услуг»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>/1000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1275,1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1281,0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1282,0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1282,0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Развитие потребительского рынка и услуг на территории муниципального образования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Прирост площадей торговых объектов 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Ликвидация незаконных нестационарных торговых объектов 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баллы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Развитие потребительского рынка и услуг на территории муниципального образовани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я Московской области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Посадочные места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Прирост рабочих мест на объектах бытового обслуживания 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Рабочие места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3 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Развитие сферы бытовых услуг на территории муниципального образования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введенных банных объектов по программе «100 бань Подмосковья» 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4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Доля обращений по вопросу защиты прав потребителей от общего количества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поступивших обращений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Отраслевой показатель (показатель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госпрограммы)</w:t>
            </w:r>
          </w:p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Участие в организации региональной системы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защиты прав потребителей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437" w:rsidRPr="00E86437" w:rsidRDefault="00E86437" w:rsidP="00E86437">
      <w:pPr>
        <w:pStyle w:val="ConsPlusNormal"/>
        <w:jc w:val="both"/>
        <w:rPr>
          <w:rFonts w:ascii="Arial" w:hAnsi="Arial" w:cs="Arial"/>
          <w:sz w:val="24"/>
          <w:szCs w:val="24"/>
        </w:rPr>
        <w:sectPr w:rsidR="00E86437" w:rsidRPr="00E86437" w:rsidSect="00E86437">
          <w:footerReference w:type="default" r:id="rId7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86437" w:rsidRPr="00E86437" w:rsidRDefault="00E86437" w:rsidP="00E8643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(подпрограммы)</w:t>
      </w:r>
    </w:p>
    <w:p w:rsidR="00E86437" w:rsidRPr="00E86437" w:rsidRDefault="00E86437" w:rsidP="00E86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134"/>
        <w:gridCol w:w="4252"/>
        <w:gridCol w:w="3686"/>
        <w:gridCol w:w="2557"/>
      </w:tblGrid>
      <w:tr w:rsidR="00E86437" w:rsidRPr="00E86437" w:rsidTr="00E86437">
        <w:trPr>
          <w:trHeight w:val="276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E86437" w:rsidRPr="00E86437" w:rsidTr="00E86437">
        <w:trPr>
          <w:trHeight w:val="28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86437" w:rsidRPr="00E86437" w:rsidTr="00E86437">
        <w:trPr>
          <w:trHeight w:val="297"/>
        </w:trPr>
        <w:tc>
          <w:tcPr>
            <w:tcW w:w="562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5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E86437" w:rsidRPr="00E86437" w:rsidTr="00E86437">
        <w:trPr>
          <w:trHeight w:val="250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= Ид /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Коломенского городского округа на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01 января отчетного года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площадок. 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ПЗ =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Пинд.р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*100/(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Пинд.о-Пинд.и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E86437" w:rsidRPr="00E86437" w:rsidRDefault="00E86437" w:rsidP="00E8643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</w:p>
          <w:p w:rsidR="00E86437" w:rsidRPr="00E86437" w:rsidRDefault="00E86437" w:rsidP="00E8643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Пинд.р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площадь индустриального парка, занятая резидентами;</w:t>
            </w:r>
          </w:p>
          <w:p w:rsidR="00E86437" w:rsidRPr="00E86437" w:rsidRDefault="00E86437" w:rsidP="00E8643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Пинд.о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общая площадь индустриального парка;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Пинд.и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площадь индустриального парка, предназначенная для объектов инфраструктуры.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Управляющие компании индустриальных парков, технопарков и </w:t>
            </w:r>
            <w:proofErr w:type="spell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промзон</w:t>
            </w:r>
            <w:proofErr w:type="spell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а также АО «Корпорация развития Московской области», ГИС ИП.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многофункциональных  индустриальных</w:t>
            </w:r>
            <w:proofErr w:type="gram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 парков, технологических парков, промышленных площадок.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технологических парков, промышленных площадок муниципального образования (нарастающим итогом).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E86437">
                <w:rPr>
                  <w:rStyle w:val="af0"/>
                  <w:rFonts w:ascii="Arial" w:hAnsi="Arial" w:cs="Arial"/>
                  <w:sz w:val="24"/>
                  <w:szCs w:val="24"/>
                </w:rPr>
                <w:t>https://www.gisip.ru</w:t>
              </w:r>
            </w:hyperlink>
            <w:r w:rsidRPr="00E8643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E86437" w:rsidRPr="00E86437" w:rsidRDefault="00E86437" w:rsidP="00E86437">
            <w:pPr>
              <w:tabs>
                <w:tab w:val="left" w:pos="534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252" w:type="dxa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Учитывается количество привлеченных резидентов на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отчетам управляющие компании индустриальных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парков, технопарков и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промзон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 также АО «Корпорация развития Московской области», а </w:t>
            </w:r>
            <w:proofErr w:type="gram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 же</w:t>
            </w:r>
            <w:proofErr w:type="gram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сведениям ЕАС ПИП.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4252" w:type="dxa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к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субъектам малого предпринимательства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по  предприятиям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 xml:space="preserve"> предшествующего </w:t>
            </w:r>
            <w:r w:rsidRPr="00E86437">
              <w:rPr>
                <w:rFonts w:ascii="Arial" w:hAnsi="Arial" w:cs="Arial"/>
                <w:bCs/>
                <w:sz w:val="24"/>
                <w:szCs w:val="24"/>
              </w:rPr>
              <w:t xml:space="preserve">При расчете необходимо </w:t>
            </w:r>
            <w:r w:rsidRPr="00E8643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</w:t>
            </w:r>
            <w:proofErr w:type="gramStart"/>
            <w:r w:rsidRPr="00E86437">
              <w:rPr>
                <w:rFonts w:ascii="Arial" w:hAnsi="Arial" w:cs="Arial"/>
                <w:bCs/>
                <w:sz w:val="24"/>
                <w:szCs w:val="24"/>
              </w:rPr>
              <w:t>численность работников</w:t>
            </w:r>
            <w:proofErr w:type="gramEnd"/>
            <w:r w:rsidRPr="00E86437">
              <w:rPr>
                <w:rFonts w:ascii="Arial" w:hAnsi="Arial" w:cs="Arial"/>
                <w:bCs/>
                <w:sz w:val="24"/>
                <w:szCs w:val="24"/>
              </w:rPr>
              <w:t xml:space="preserve">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несырьевых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 отраслях экономики 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1. Настоящая методика определяет расчет показателя "Производительность труда в базовых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несырьевых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отраслях экономики" за отчетный период (прошедший год).</w:t>
            </w:r>
          </w:p>
          <w:p w:rsidR="00E86437" w:rsidRPr="00E86437" w:rsidRDefault="00E86437" w:rsidP="00E864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2. Под базовыми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несырьевыми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Росстандарта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от 31.01.2014 № 14-ст (ОК 029-2014 (КДЕС Ред.2) понимаются:</w:t>
            </w:r>
          </w:p>
          <w:p w:rsidR="00E86437" w:rsidRPr="00E86437" w:rsidRDefault="00E86437" w:rsidP="00E86437">
            <w:pPr>
              <w:pStyle w:val="ConsPlusNormal"/>
              <w:numPr>
                <w:ilvl w:val="0"/>
                <w:numId w:val="12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 (раздел А);</w:t>
            </w:r>
          </w:p>
          <w:p w:rsidR="00E86437" w:rsidRPr="00E86437" w:rsidRDefault="00E86437" w:rsidP="00E86437">
            <w:pPr>
              <w:pStyle w:val="ConsPlusNormal"/>
              <w:numPr>
                <w:ilvl w:val="0"/>
                <w:numId w:val="12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обрабатывающие производства (раздел С);</w:t>
            </w:r>
          </w:p>
          <w:p w:rsidR="00E86437" w:rsidRPr="00E86437" w:rsidRDefault="00E86437" w:rsidP="00E86437">
            <w:pPr>
              <w:pStyle w:val="ConsPlusNormal"/>
              <w:numPr>
                <w:ilvl w:val="0"/>
                <w:numId w:val="12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строительство (раздел F);</w:t>
            </w:r>
          </w:p>
          <w:p w:rsidR="00E86437" w:rsidRPr="00E86437" w:rsidRDefault="00E86437" w:rsidP="00E86437">
            <w:pPr>
              <w:pStyle w:val="ConsPlusNormal"/>
              <w:numPr>
                <w:ilvl w:val="0"/>
                <w:numId w:val="12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торговля оптовая и розничная; ремонт автотранспортных средств и мотоциклов (раздел G);</w:t>
            </w:r>
          </w:p>
          <w:p w:rsidR="00E86437" w:rsidRPr="00E86437" w:rsidRDefault="00E86437" w:rsidP="00E86437">
            <w:pPr>
              <w:pStyle w:val="ConsPlusNormal"/>
              <w:numPr>
                <w:ilvl w:val="0"/>
                <w:numId w:val="12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транспортировка и хранение (раздел Н);</w:t>
            </w:r>
          </w:p>
          <w:p w:rsidR="00E86437" w:rsidRPr="00E86437" w:rsidRDefault="00E86437" w:rsidP="00E86437">
            <w:pPr>
              <w:pStyle w:val="ConsPlusNormal"/>
              <w:numPr>
                <w:ilvl w:val="0"/>
                <w:numId w:val="12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 (раздел J).</w:t>
            </w:r>
          </w:p>
          <w:p w:rsidR="00E86437" w:rsidRPr="00E86437" w:rsidRDefault="00E86437" w:rsidP="00E864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3. Индекс производительности труда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ИПТ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</m:oMath>
            <w:r w:rsidRPr="00E86437">
              <w:rPr>
                <w:rFonts w:ascii="Arial" w:hAnsi="Arial" w:cs="Arial"/>
                <w:sz w:val="24"/>
                <w:szCs w:val="24"/>
              </w:rPr>
              <w:t>), отражающий динамику производительности труда отчетного года (n-го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</m:oMath>
            <w:r w:rsidRPr="00E86437">
              <w:rPr>
                <w:rFonts w:ascii="Arial" w:hAnsi="Arial" w:cs="Arial"/>
                <w:sz w:val="24"/>
                <w:szCs w:val="24"/>
              </w:rPr>
              <w:t>) к производительности труда базового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b>
              </m:sSub>
            </m:oMath>
            <w:r w:rsidRPr="00E86437">
              <w:rPr>
                <w:rFonts w:ascii="Arial" w:hAnsi="Arial" w:cs="Arial"/>
                <w:sz w:val="24"/>
                <w:szCs w:val="24"/>
              </w:rPr>
              <w:t>), выражается в процентах:</w:t>
            </w:r>
          </w:p>
          <w:p w:rsidR="00E86437" w:rsidRPr="00E86437" w:rsidRDefault="00E86437" w:rsidP="00E864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ИПТ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×100%.</m:t>
                </m:r>
              </m:oMath>
            </m:oMathPara>
          </w:p>
          <w:p w:rsidR="00E86437" w:rsidRPr="00E86437" w:rsidRDefault="00E86437" w:rsidP="00E8643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4. Производительность труда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) </m:t>
              </m:r>
            </m:oMath>
            <w:r w:rsidRPr="00E86437">
              <w:rPr>
                <w:rFonts w:ascii="Arial" w:hAnsi="Arial" w:cs="Arial"/>
                <w:sz w:val="24"/>
                <w:szCs w:val="24"/>
              </w:rPr>
              <w:t>определяется как отношение суммы отгруженной продукции i-й базовой несырьевой отрасли</w:t>
            </w:r>
            <w:r w:rsidRPr="00E86437" w:rsidDel="00883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437">
              <w:rPr>
                <w:rFonts w:ascii="Arial" w:hAnsi="Arial" w:cs="Arial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ОП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Pr="00E8643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 xml:space="preserve">с учетом индекса дефлятора i-й базовой несырьевой отрасли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 w:rsidRPr="00E8643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 xml:space="preserve"> сумме среднесписочной численности работников i-й базовой несырьевой отрасли</w:t>
            </w:r>
            <w:r w:rsidRPr="00E86437" w:rsidDel="00883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437">
              <w:rPr>
                <w:rFonts w:ascii="Arial" w:hAnsi="Arial" w:cs="Arial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ЧР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ср</m:t>
                      </m:r>
                    </m:sub>
                  </m:sSub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Pr="00E8643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>за соот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ветствующие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периоды: </w:t>
            </w:r>
          </w:p>
          <w:p w:rsidR="00E86437" w:rsidRPr="00E86437" w:rsidRDefault="00E86437" w:rsidP="00E86437">
            <w:pPr>
              <w:pStyle w:val="ConsPlusNormal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ПТ=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ОП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ЧР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ср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Pr="00E8643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E86437" w:rsidRPr="00E86437" w:rsidRDefault="00E86437" w:rsidP="00E86437">
            <w:pPr>
              <w:pStyle w:val="ConsPlusNormal"/>
              <w:spacing w:before="240"/>
              <w:ind w:firstLine="431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ОП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 </w:t>
            </w:r>
          </w:p>
          <w:p w:rsidR="00E86437" w:rsidRPr="00E86437" w:rsidRDefault="00E86437" w:rsidP="00E86437">
            <w:pPr>
              <w:pStyle w:val="ConsPlusNormal"/>
              <w:spacing w:before="240"/>
              <w:ind w:firstLine="431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I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– индекс цен, рассчитанный для каждой базовой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несырьевой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отрасли в отдельности и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применяемый для пересчета какого-либо из стоимостных показателей, выраженных в текущих (действующих) ценах,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>в базисные цены, то есть цены года, принятого в качестве базисного (рассчитывается и публикуется Росстатом);</w:t>
            </w:r>
          </w:p>
          <w:p w:rsidR="00E86437" w:rsidRPr="00E86437" w:rsidRDefault="00E86437" w:rsidP="00E86437">
            <w:pPr>
              <w:pStyle w:val="ConsPlusNormal"/>
              <w:spacing w:before="240"/>
              <w:ind w:firstLine="431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ЧР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– среднесписочная численность работников (без внешних совместителей)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 xml:space="preserve">по организациям, не относящимся к субъектам малого предпринимательства,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 xml:space="preserve">за год, исчисляется путем суммирования списочной численности работников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 xml:space="preserve">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 xml:space="preserve">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работников, потребностью организаций в работниках по профессиональным группам, составом кадров государственной гражданской и муниципальной службы»).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</w:t>
            </w:r>
          </w:p>
          <w:p w:rsidR="00E86437" w:rsidRPr="00E86437" w:rsidRDefault="00E86437" w:rsidP="00E8643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ОП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E86437" w:rsidRPr="00E86437" w:rsidRDefault="00E86437" w:rsidP="00E8643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ЧР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  <w:p w:rsidR="00E86437" w:rsidRPr="00E86437" w:rsidRDefault="00E86437" w:rsidP="00E86437">
            <w:pPr>
              <w:pStyle w:val="ConsPlusNormal"/>
              <w:spacing w:before="2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ИЧП= Ио-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Ифп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Ифб</w:t>
            </w:r>
            <w:proofErr w:type="spellEnd"/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ИЧП</w:t>
            </w:r>
            <w:r w:rsidRPr="00E8643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E86437">
              <w:rPr>
                <w:rFonts w:ascii="Arial" w:hAnsi="Arial" w:cs="Arial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Ио</w:t>
            </w:r>
            <w:r w:rsidRPr="00E8643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E86437">
              <w:rPr>
                <w:rFonts w:ascii="Arial" w:hAnsi="Arial" w:cs="Arial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по организациям, не относящимся к субъектам малого предпринимательства.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Ифп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E86437">
              <w:rPr>
                <w:rFonts w:ascii="Arial" w:hAnsi="Arial" w:cs="Arial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Ифб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E86437">
              <w:rPr>
                <w:rFonts w:ascii="Arial" w:hAnsi="Arial" w:cs="Arial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образований.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Показатель 9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созданных рабочих мест</w:t>
            </w:r>
          </w:p>
        </w:tc>
        <w:tc>
          <w:tcPr>
            <w:tcW w:w="1134" w:type="dxa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Рассчитывается исходя из фактических данных в соответствии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Данные формы статистического наблюдения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№ П-4(Н3) «Сведения о неполной занятости и движении работников»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5"/>
            <w:tcBorders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noProof/>
                <w:position w:val="-29"/>
                <w:sz w:val="24"/>
                <w:szCs w:val="24"/>
              </w:rPr>
              <w:drawing>
                <wp:inline distT="0" distB="0" distL="0" distR="0" wp14:anchorId="2610FB2C" wp14:editId="74808CBD">
                  <wp:extent cx="1063487" cy="367748"/>
                  <wp:effectExtent l="0" t="0" r="0" b="0"/>
                  <wp:docPr id="13" name="Рисунок 13" descr="base_14_27409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4_274090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6" cy="38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noProof/>
                <w:position w:val="-11"/>
                <w:sz w:val="24"/>
                <w:szCs w:val="24"/>
              </w:rPr>
              <w:drawing>
                <wp:inline distT="0" distB="0" distL="0" distR="0" wp14:anchorId="02A432FD" wp14:editId="7044BEFE">
                  <wp:extent cx="371475" cy="323850"/>
                  <wp:effectExtent l="0" t="0" r="9525" b="0"/>
                  <wp:docPr id="12" name="Рисунок 12" descr="base_14_274090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4_274090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К - общее количество опубликованных торгов, единица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noProof/>
                <w:position w:val="-29"/>
                <w:sz w:val="24"/>
                <w:szCs w:val="24"/>
                <w:lang w:eastAsia="ru-RU"/>
              </w:rPr>
              <w:drawing>
                <wp:inline distT="0" distB="0" distL="0" distR="0" wp14:anchorId="18600120" wp14:editId="3617F3EE">
                  <wp:extent cx="1514475" cy="387626"/>
                  <wp:effectExtent l="0" t="0" r="0" b="0"/>
                  <wp:docPr id="11" name="Рисунок 11" descr="base_14_27409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74090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92" cy="3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noProof/>
                <w:position w:val="-11"/>
                <w:sz w:val="24"/>
                <w:szCs w:val="24"/>
              </w:rPr>
              <w:drawing>
                <wp:inline distT="0" distB="0" distL="0" distR="0" wp14:anchorId="4FF5B9FE" wp14:editId="20ED1885">
                  <wp:extent cx="342900" cy="323850"/>
                  <wp:effectExtent l="0" t="0" r="0" b="0"/>
                  <wp:docPr id="14" name="Рисунок 14" descr="base_14_274090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74090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- доля несостоявшихся торгов;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 wp14:anchorId="42D27896" wp14:editId="1F68FD44">
                  <wp:extent cx="1630017" cy="457200"/>
                  <wp:effectExtent l="0" t="0" r="0" b="0"/>
                  <wp:docPr id="15" name="Рисунок 15" descr="base_14_27409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4_274090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82" cy="46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Эодс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- доля общей экономии денежных средств от общей суммы объявленных торгов, процентов;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- общая экономия денежных средств в результате проведения торгов и до проведения торгов, рублей;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noProof/>
                <w:position w:val="-13"/>
                <w:sz w:val="24"/>
                <w:szCs w:val="24"/>
                <w:lang w:eastAsia="ru-RU"/>
              </w:rPr>
              <w:drawing>
                <wp:inline distT="0" distB="0" distL="0" distR="0" wp14:anchorId="19C8ED53" wp14:editId="4C4557E7">
                  <wp:extent cx="638175" cy="342900"/>
                  <wp:effectExtent l="0" t="0" r="0" b="0"/>
                  <wp:docPr id="16" name="Рисунок 16" descr="base_14_274090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74090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- общая сумма объявленных торгов, рублей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noProof/>
                <w:position w:val="-33"/>
                <w:sz w:val="24"/>
                <w:szCs w:val="24"/>
                <w:lang w:eastAsia="ru-RU"/>
              </w:rPr>
              <w:drawing>
                <wp:inline distT="0" distB="0" distL="0" distR="0" wp14:anchorId="1B4A0F17" wp14:editId="0331947D">
                  <wp:extent cx="2325756" cy="397565"/>
                  <wp:effectExtent l="0" t="0" r="0" b="0"/>
                  <wp:docPr id="17" name="Рисунок 17" descr="base_14_27409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4_274090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981" cy="40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noProof/>
                <w:position w:val="-11"/>
                <w:sz w:val="24"/>
                <w:szCs w:val="24"/>
              </w:rPr>
              <w:drawing>
                <wp:inline distT="0" distB="0" distL="0" distR="0" wp14:anchorId="201A3C8E" wp14:editId="2991CF75">
                  <wp:extent cx="476250" cy="323850"/>
                  <wp:effectExtent l="0" t="0" r="0" b="0"/>
                  <wp:docPr id="18" name="Рисунок 18" descr="base_14_274090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4_274090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noProof/>
                <w:position w:val="-13"/>
                <w:sz w:val="24"/>
                <w:szCs w:val="24"/>
              </w:rPr>
              <w:drawing>
                <wp:inline distT="0" distB="0" distL="0" distR="0" wp14:anchorId="59D08B00" wp14:editId="3071747D">
                  <wp:extent cx="657225" cy="342900"/>
                  <wp:effectExtent l="0" t="0" r="0" b="0"/>
                  <wp:docPr id="19" name="Рисунок 19" descr="base_14_274090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4_274090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- сумма контрактов,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заключенных с СМП, СОНО по объявленным среди СМП, СОНО закупкам, руб.;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noProof/>
                <w:position w:val="-13"/>
                <w:sz w:val="24"/>
                <w:szCs w:val="24"/>
              </w:rPr>
              <w:drawing>
                <wp:inline distT="0" distB="0" distL="0" distR="0" wp14:anchorId="0B8EB20F" wp14:editId="7C51AA55">
                  <wp:extent cx="609600" cy="342900"/>
                  <wp:effectExtent l="0" t="0" r="0" b="0"/>
                  <wp:docPr id="20" name="Рисунок 20" descr="base_14_274090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4_274090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СГО - совокупный годовой объем с учетом пункта 1.1 статьи 30 Федерального закона № 44-ФЗ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 wp14:anchorId="64008A9E" wp14:editId="03D2C677">
                  <wp:extent cx="1808921" cy="357809"/>
                  <wp:effectExtent l="0" t="0" r="0" b="0"/>
                  <wp:docPr id="21" name="Рисунок 21" descr="base_14_27409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4_274090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29" cy="3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Y - количество участников в одной процедуре, единица;</w:t>
            </w:r>
          </w:p>
          <w:p w:rsidR="00E86437" w:rsidRPr="00E86437" w:rsidRDefault="00E86437" w:rsidP="00E864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 wp14:anchorId="48146865" wp14:editId="51F5C820">
                  <wp:extent cx="285750" cy="342900"/>
                  <wp:effectExtent l="0" t="0" r="0" b="0"/>
                  <wp:docPr id="22" name="Рисунок 22" descr="base_14_27409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4_274090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K - общее количество проведенных процедур, единица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реализованных требований Стандарта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развития конкуренции в муниципальном образовании Московской области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K = Т1 + Т2 + ...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Тi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где: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Тi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 - единица реализованного требования Стандарта развития конкуренции.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Стандарт развития конкуренции содержит 5 требований для внедрения на территории муниципального образования Московской области, реализация каждого требования является единицей при расчете значения показателя: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Требование (Т1 -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Тi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</w:rPr>
              <w:t>):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1. Определение уполномоченного органа.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2. Утверждение перечня рынков.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Разработка и актуализация «дорожной карты».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4. Проведение мониторинга рынков.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5.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Данные муниципальных образований Московской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5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малого и среднего предпринимательства»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Показатель1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r w:rsidRPr="00E86437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br/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w:br/>
                </m:r>
              </m:oMath>
            </m:oMathPara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</w:t>
            </w:r>
            <w:proofErr w:type="spell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риятий</w:t>
            </w:r>
            <w:proofErr w:type="spell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юридических лиц, человек;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ср</m:t>
                    </m:r>
                  </m:e>
                </m:mr>
              </m:m>
            </m:oMath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мп</m:t>
                    </m:r>
                  </m:e>
                </m:mr>
              </m:m>
            </m:oMath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</w:t>
            </w:r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работников»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Число субъектов МСП в расчете на 10 тыс. человек населения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E86437" w:rsidRPr="00E86437" w:rsidRDefault="00E86437" w:rsidP="00E8643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6437" w:rsidRPr="00E86437" w:rsidRDefault="00E86437" w:rsidP="00E8643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</w:t>
            </w: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E86437" w:rsidRPr="00E86437" w:rsidRDefault="00E86437" w:rsidP="00E8643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Чсмсп</m:t>
              </m:r>
            </m:oMath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E86437" w:rsidRPr="00E86437" w:rsidRDefault="00E86437" w:rsidP="00E864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86437" w:rsidRPr="00E86437" w:rsidRDefault="00E86437" w:rsidP="00E8643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Чнас</m:t>
              </m:r>
            </m:oMath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Федеральной службы государственной статистики)</w:t>
            </w:r>
          </w:p>
          <w:p w:rsidR="00E86437" w:rsidRPr="00E86437" w:rsidRDefault="00E86437" w:rsidP="00E8643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Федеральной налоговой службы России;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3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Малый бизнес большого региона. Прирост количества субъектов малого и среднего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 на 10 тыс. населения</w:t>
            </w: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t-1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×10 000</m:t>
              </m:r>
            </m:oMath>
            <w:r w:rsidRPr="00E86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Пр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>к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proofErr w:type="gram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прирост количества субъектов малого и среднего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К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t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количество средних, малых предприятий,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микропредприятий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К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t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-1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E86437">
              <w:rPr>
                <w:rFonts w:ascii="Arial" w:hAnsi="Arial" w:cs="Arial"/>
                <w:sz w:val="24"/>
                <w:szCs w:val="24"/>
              </w:rPr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</m:t>
                  </m:r>
                </m:sub>
              </m:sSub>
            </m:oMath>
            <w:r w:rsidRPr="00E8643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E8643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численность населения муниципального образования Московской области, человек, заполняется один раз </w:t>
            </w:r>
            <w:r w:rsidRPr="00E86437">
              <w:rPr>
                <w:rFonts w:ascii="Arial" w:hAnsi="Arial" w:cs="Arial"/>
                <w:sz w:val="24"/>
                <w:szCs w:val="24"/>
              </w:rPr>
              <w:br/>
              <w:t>в год по состоянию на 1 января отчетного года</w:t>
            </w:r>
          </w:p>
          <w:p w:rsidR="00E86437" w:rsidRPr="00E86437" w:rsidRDefault="00E86437" w:rsidP="00E8643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4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Вновь созданные юридические лица в сфере производства и услуг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5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6</w:t>
            </w:r>
          </w:p>
          <w:p w:rsidR="00E86437" w:rsidRPr="00E86437" w:rsidRDefault="00E86437" w:rsidP="00E864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Ч =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ССЧР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>юл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ССЧР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>ип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ЮЛ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>вс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ИП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>мсп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П</w:t>
            </w:r>
            <w:r w:rsidRPr="00E86437">
              <w:rPr>
                <w:rFonts w:ascii="Arial" w:hAnsi="Arial" w:cs="Arial"/>
                <w:sz w:val="24"/>
                <w:szCs w:val="24"/>
                <w:vertAlign w:val="subscript"/>
              </w:rPr>
              <w:t>нпд</w:t>
            </w:r>
            <w:proofErr w:type="spellEnd"/>
          </w:p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E86437" w:rsidRPr="00E86437" w:rsidRDefault="00E86437" w:rsidP="00E86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E86437" w:rsidRPr="00E86437" w:rsidRDefault="00E86437" w:rsidP="00E86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ССЧР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юл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среднесписочной численности работников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юридических лиц;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ССЧР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вс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нпд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1" w:history="1">
              <w:r w:rsidRPr="00E8643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4</w:t>
              </w:r>
            </w:hyperlink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"сумма среднесписочной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доход" в порядке, установленном Федеральным </w:t>
            </w:r>
            <w:hyperlink r:id="rId22" w:history="1">
              <w:r w:rsidRPr="00E8643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spacing w:before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материалы".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E86437" w:rsidRPr="00E86437" w:rsidTr="00E86437">
        <w:trPr>
          <w:trHeight w:val="332"/>
        </w:trPr>
        <w:tc>
          <w:tcPr>
            <w:tcW w:w="562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7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86437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E86437">
              <w:rPr>
                <w:rFonts w:ascii="Arial" w:hAnsi="Arial" w:cs="Arial"/>
                <w:sz w:val="24"/>
                <w:szCs w:val="24"/>
              </w:rPr>
              <w:t>, нарастающим итогом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23" w:history="1">
              <w:r w:rsidRPr="00E8643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, зарегистрированных на территории муниципального образования и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деятельность на территории Московской области, нарастающим итогом.</w:t>
            </w:r>
          </w:p>
          <w:p w:rsidR="00E86437" w:rsidRPr="00E86437" w:rsidRDefault="00E86437" w:rsidP="00E8643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:rsidR="00E86437" w:rsidRPr="00E86437" w:rsidRDefault="00E86437" w:rsidP="00E86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6437" w:rsidRPr="00E86437" w:rsidRDefault="00E86437" w:rsidP="00E86437">
      <w:pPr>
        <w:pStyle w:val="ConsPlusNormal"/>
        <w:rPr>
          <w:rFonts w:ascii="Arial" w:hAnsi="Arial" w:cs="Arial"/>
          <w:sz w:val="24"/>
          <w:szCs w:val="24"/>
        </w:rPr>
        <w:sectPr w:rsidR="00E86437" w:rsidRPr="00E86437" w:rsidSect="00E8643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E86437" w:rsidRPr="00226E69" w:rsidRDefault="00E86437" w:rsidP="00E86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E86437">
        <w:rPr>
          <w:rFonts w:ascii="Arial" w:eastAsia="Calibri" w:hAnsi="Arial" w:cs="Arial"/>
          <w:bCs/>
          <w:color w:val="00000A"/>
          <w:sz w:val="24"/>
          <w:szCs w:val="24"/>
        </w:rPr>
        <w:t>24.07.2020 № 707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Приложение № 4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E86437" w:rsidRPr="00E86437" w:rsidRDefault="00E86437" w:rsidP="00E86437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от 27.12.2019 № 1865</w:t>
      </w:r>
    </w:p>
    <w:p w:rsidR="00E86437" w:rsidRPr="00E86437" w:rsidRDefault="00E86437" w:rsidP="00E86437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E86437" w:rsidRPr="00E86437" w:rsidRDefault="00E86437" w:rsidP="00E86437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E86437">
        <w:rPr>
          <w:rFonts w:ascii="Arial" w:hAnsi="Arial" w:cs="Arial"/>
          <w:b w:val="0"/>
          <w:sz w:val="24"/>
          <w:szCs w:val="24"/>
        </w:rPr>
        <w:t>Перечень</w:t>
      </w:r>
    </w:p>
    <w:p w:rsidR="00E86437" w:rsidRPr="00E86437" w:rsidRDefault="00E86437" w:rsidP="00E8643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Pr="00E8643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Pr="00E86437">
        <w:rPr>
          <w:rFonts w:ascii="Arial" w:eastAsiaTheme="minorEastAsia" w:hAnsi="Arial" w:cs="Arial"/>
          <w:sz w:val="24"/>
          <w:szCs w:val="24"/>
        </w:rPr>
        <w:t xml:space="preserve"> «Инвестиции»</w:t>
      </w:r>
    </w:p>
    <w:p w:rsidR="00E86437" w:rsidRPr="00E86437" w:rsidRDefault="00E86437" w:rsidP="00E86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01"/>
        <w:gridCol w:w="1389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E86437" w:rsidRPr="00E86437" w:rsidTr="00E8643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Объемы финансирования по </w:t>
            </w:r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годам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E86437" w:rsidRPr="00E86437" w:rsidTr="00E864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86437" w:rsidRPr="00E86437" w:rsidTr="00E86437">
        <w:trPr>
          <w:trHeight w:val="209"/>
        </w:trPr>
        <w:tc>
          <w:tcPr>
            <w:tcW w:w="152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ции городского округа Лобня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Стимулирование инвестиционной деятельности муниципальных образований.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 2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основе.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6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Создание многофункциональных индустриальных парков, промышленных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реализуемых инвестиционных проектов, ввод информации в систему ЕАС ПИП.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0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Создание многофункциональных индустриальных парков, технопарков, промышленных площадок.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3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Проведение мероприятий по погашению задолженности по выплате заработной платы в Московской области.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Проведение выставок вакансий.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Создание новых рабочих мест за счет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проводимых мероприятий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 xml:space="preserve"> направленных на расширение имеющихся производств.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Создание и открытие новых промышленных предприятий.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Заключение трехстороннего соглашения об увеличении заработной платы.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Увеличение числа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работников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 xml:space="preserve"> прошедших обучение, за счет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чего повысилась квалификация.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Комитет по экономике Администрации городского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Увеличение предприятий с высокопроизводительными рабочими местами.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10. Проведение конкурсного отбора лучших концепций по развитию </w:t>
            </w:r>
            <w:proofErr w:type="gramStart"/>
            <w:r w:rsidRPr="00E86437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E86437">
              <w:rPr>
                <w:rFonts w:ascii="Arial" w:hAnsi="Arial" w:cs="Arial"/>
                <w:sz w:val="24"/>
                <w:szCs w:val="24"/>
              </w:rPr>
              <w:t xml:space="preserve"> и дальнейшая реализация концепций победителей конкурса.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области.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86437" w:rsidRPr="00E86437" w:rsidRDefault="00E86437" w:rsidP="00E86437">
      <w:pPr>
        <w:ind w:left="8931" w:firstLine="708"/>
        <w:jc w:val="both"/>
        <w:rPr>
          <w:rStyle w:val="af1"/>
          <w:rFonts w:ascii="Arial" w:hAnsi="Arial" w:cs="Arial"/>
          <w:b w:val="0"/>
          <w:bCs/>
          <w:sz w:val="24"/>
          <w:szCs w:val="24"/>
        </w:rPr>
        <w:sectPr w:rsidR="00E86437" w:rsidRPr="00E86437" w:rsidSect="00E8643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86437" w:rsidRPr="00E86437" w:rsidRDefault="00E86437" w:rsidP="00676668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86437" w:rsidRPr="00E86437" w:rsidRDefault="00E86437" w:rsidP="00676668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76668" w:rsidRPr="00226E69" w:rsidRDefault="00676668" w:rsidP="0067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A"/>
          <w:sz w:val="24"/>
          <w:szCs w:val="24"/>
        </w:rPr>
      </w:pPr>
      <w:r w:rsidRPr="00226E69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E86437">
        <w:rPr>
          <w:rFonts w:ascii="Arial" w:eastAsia="Calibri" w:hAnsi="Arial" w:cs="Arial"/>
          <w:bCs/>
          <w:color w:val="00000A"/>
          <w:sz w:val="24"/>
          <w:szCs w:val="24"/>
        </w:rPr>
        <w:t>24.07.2020 № 707</w:t>
      </w:r>
    </w:p>
    <w:p w:rsidR="00E86437" w:rsidRPr="00E86437" w:rsidRDefault="00E86437" w:rsidP="00676668">
      <w:pPr>
        <w:ind w:left="8931" w:firstLine="708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E86437" w:rsidRPr="00676668" w:rsidRDefault="00E86437" w:rsidP="00676668">
      <w:pPr>
        <w:pStyle w:val="af2"/>
        <w:jc w:val="right"/>
        <w:rPr>
          <w:rFonts w:ascii="Arial" w:hAnsi="Arial" w:cs="Arial"/>
        </w:rPr>
      </w:pPr>
      <w:r w:rsidRPr="00676668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6</w:t>
      </w:r>
    </w:p>
    <w:p w:rsidR="00E86437" w:rsidRPr="00676668" w:rsidRDefault="00E86437" w:rsidP="00676668">
      <w:pPr>
        <w:pStyle w:val="af2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676668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E86437" w:rsidRPr="00676668" w:rsidRDefault="00676668" w:rsidP="00676668">
      <w:pPr>
        <w:pStyle w:val="af2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676668">
        <w:rPr>
          <w:rStyle w:val="af1"/>
          <w:rFonts w:ascii="Arial" w:hAnsi="Arial" w:cs="Arial"/>
          <w:b w:val="0"/>
          <w:bCs/>
          <w:sz w:val="24"/>
          <w:szCs w:val="24"/>
        </w:rPr>
        <w:t>от 27.12.2019 № 1865</w:t>
      </w:r>
    </w:p>
    <w:p w:rsidR="00E86437" w:rsidRPr="00E86437" w:rsidRDefault="00E86437" w:rsidP="00E864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86437" w:rsidRPr="00E86437" w:rsidRDefault="00E86437" w:rsidP="00E86437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</w:p>
    <w:p w:rsidR="00E86437" w:rsidRPr="00E86437" w:rsidRDefault="00E86437" w:rsidP="00E86437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E86437">
        <w:rPr>
          <w:rFonts w:ascii="Arial" w:hAnsi="Arial" w:cs="Arial"/>
          <w:b w:val="0"/>
          <w:sz w:val="24"/>
          <w:szCs w:val="24"/>
        </w:rPr>
        <w:t>Перечень</w:t>
      </w:r>
    </w:p>
    <w:p w:rsidR="00E86437" w:rsidRPr="00E86437" w:rsidRDefault="00E86437" w:rsidP="00E864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86437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Pr="00E86437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  <w:r w:rsidRPr="00E86437">
        <w:rPr>
          <w:rFonts w:ascii="Arial" w:eastAsiaTheme="minorEastAsia" w:hAnsi="Arial" w:cs="Arial"/>
          <w:sz w:val="24"/>
          <w:szCs w:val="24"/>
          <w:lang w:eastAsia="ru-RU"/>
        </w:rPr>
        <w:t xml:space="preserve"> «Развитие конкуренции»</w:t>
      </w:r>
    </w:p>
    <w:p w:rsidR="00E86437" w:rsidRPr="00E86437" w:rsidRDefault="00E86437" w:rsidP="00E864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632"/>
        <w:gridCol w:w="1560"/>
        <w:gridCol w:w="1128"/>
        <w:gridCol w:w="783"/>
        <w:gridCol w:w="845"/>
        <w:gridCol w:w="856"/>
        <w:gridCol w:w="640"/>
        <w:gridCol w:w="782"/>
        <w:gridCol w:w="1413"/>
        <w:gridCol w:w="1477"/>
      </w:tblGrid>
      <w:tr w:rsidR="00E86437" w:rsidRPr="00E86437" w:rsidTr="00E8643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Объемы финансирования по </w:t>
            </w:r>
            <w:proofErr w:type="gram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годам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E86437" w:rsidRPr="00E86437" w:rsidTr="00E864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Основное мероприятие 01. Реализация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комплекса мер по развитию сферы закупок в соответствии с Федеральным законом № 44-ФЗ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МКУ «</w:t>
            </w:r>
            <w:proofErr w:type="spellStart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центр </w:t>
            </w: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закупок»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Развитие конкурентной среды в рамках Федерального закона № 44-ФЗ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общественности о предполагаемых потребностях в товарах (работах, услугах) в рамках размещения информации об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осуществлении закупок и проведении иных конкурентных процедур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Разработка и актуализация правовых актов в сфере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Анализ и мониторинг закупочной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деятельности заказчиков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br w:type="page"/>
              <w:t>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Организация проведения совместных закупок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 Реализация комплекса мер по содействию развитию конкуренции</w:t>
            </w:r>
            <w:r w:rsidRPr="00E864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Количество реализованных требований Стандарта развития конкуренции в муниципальном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образовании Московской области</w:t>
            </w: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состояния и развития конкурентной среды на рынках товаров, работ и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на территории муниципального образования Московской области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анализ его результатов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Количество реализованных требований Стандарта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развития конкуренции в муниципальном образовании Московской области</w:t>
            </w: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ежегодного доклада </w:t>
            </w:r>
            <w:r w:rsidRPr="00E86437">
              <w:rPr>
                <w:rFonts w:ascii="Arial" w:hAnsi="Arial" w:cs="Arial"/>
                <w:sz w:val="24"/>
                <w:szCs w:val="24"/>
              </w:rPr>
              <w:t>«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доклад о внедрении стандарта развития конкуренции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субъектов </w:t>
            </w: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  <w:r w:rsidRPr="00E86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E86437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6437" w:rsidRPr="00E86437" w:rsidTr="00E8643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7" w:rsidRPr="00E86437" w:rsidRDefault="00E86437" w:rsidP="00E864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7" w:rsidRPr="00E86437" w:rsidRDefault="00E86437" w:rsidP="00E864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86437" w:rsidRPr="00E86437" w:rsidRDefault="00E86437" w:rsidP="00E86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156C" w:rsidRPr="00E86437" w:rsidRDefault="0035156C">
      <w:pPr>
        <w:rPr>
          <w:rFonts w:ascii="Arial" w:hAnsi="Arial" w:cs="Arial"/>
          <w:sz w:val="24"/>
          <w:szCs w:val="24"/>
        </w:rPr>
      </w:pPr>
    </w:p>
    <w:sectPr w:rsidR="0035156C" w:rsidRPr="00E86437" w:rsidSect="00E86437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993862"/>
      <w:docPartObj>
        <w:docPartGallery w:val="Page Numbers (Bottom of Page)"/>
        <w:docPartUnique/>
      </w:docPartObj>
    </w:sdtPr>
    <w:sdtContent>
      <w:p w:rsidR="00E86437" w:rsidRDefault="00E864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68">
          <w:rPr>
            <w:noProof/>
          </w:rPr>
          <w:t>59</w:t>
        </w:r>
        <w:r>
          <w:fldChar w:fldCharType="end"/>
        </w:r>
      </w:p>
    </w:sdtContent>
  </w:sdt>
  <w:p w:rsidR="00E86437" w:rsidRDefault="00E86437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5BC"/>
    <w:multiLevelType w:val="hybridMultilevel"/>
    <w:tmpl w:val="DC30A696"/>
    <w:lvl w:ilvl="0" w:tplc="A3FA3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2617B"/>
    <w:multiLevelType w:val="hybridMultilevel"/>
    <w:tmpl w:val="F158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646A"/>
    <w:multiLevelType w:val="hybridMultilevel"/>
    <w:tmpl w:val="DCC29DC6"/>
    <w:lvl w:ilvl="0" w:tplc="86E0DFDE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4">
    <w:nsid w:val="30B36E51"/>
    <w:multiLevelType w:val="hybridMultilevel"/>
    <w:tmpl w:val="C0D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3BDE"/>
    <w:multiLevelType w:val="hybridMultilevel"/>
    <w:tmpl w:val="998AD4DA"/>
    <w:lvl w:ilvl="0" w:tplc="157441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3D3452"/>
    <w:multiLevelType w:val="hybridMultilevel"/>
    <w:tmpl w:val="F6EA0F00"/>
    <w:lvl w:ilvl="0" w:tplc="24ECC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35A678A"/>
    <w:multiLevelType w:val="hybridMultilevel"/>
    <w:tmpl w:val="8E4C5E4C"/>
    <w:lvl w:ilvl="0" w:tplc="6C78A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ED71FA"/>
    <w:multiLevelType w:val="hybridMultilevel"/>
    <w:tmpl w:val="16EE2F32"/>
    <w:lvl w:ilvl="0" w:tplc="8BE6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33C67"/>
    <w:multiLevelType w:val="hybridMultilevel"/>
    <w:tmpl w:val="FBB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44E0F"/>
    <w:multiLevelType w:val="multilevel"/>
    <w:tmpl w:val="D01C8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7606253A"/>
    <w:multiLevelType w:val="hybridMultilevel"/>
    <w:tmpl w:val="0674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A"/>
    <w:rsid w:val="00226E69"/>
    <w:rsid w:val="002C57D7"/>
    <w:rsid w:val="0035156C"/>
    <w:rsid w:val="0049653F"/>
    <w:rsid w:val="00676668"/>
    <w:rsid w:val="00716A8A"/>
    <w:rsid w:val="00E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0298-EB0D-4378-853D-EEBAAB5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69"/>
  </w:style>
  <w:style w:type="paragraph" w:styleId="1">
    <w:name w:val="heading 1"/>
    <w:basedOn w:val="a"/>
    <w:next w:val="a"/>
    <w:link w:val="10"/>
    <w:uiPriority w:val="99"/>
    <w:qFormat/>
    <w:rsid w:val="00E86437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26E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6437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86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E8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864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6437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643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864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E8643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864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E86437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43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86437"/>
  </w:style>
  <w:style w:type="table" w:customStyle="1" w:styleId="12">
    <w:name w:val="Сетка таблицы1"/>
    <w:basedOn w:val="a1"/>
    <w:next w:val="a5"/>
    <w:uiPriority w:val="39"/>
    <w:rsid w:val="00E8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E86437"/>
    <w:rPr>
      <w:color w:val="808080"/>
    </w:rPr>
  </w:style>
  <w:style w:type="character" w:styleId="af0">
    <w:name w:val="Hyperlink"/>
    <w:basedOn w:val="a0"/>
    <w:uiPriority w:val="99"/>
    <w:unhideWhenUsed/>
    <w:rsid w:val="00E8643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86437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Цветовое выделение"/>
    <w:uiPriority w:val="99"/>
    <w:rsid w:val="00E86437"/>
    <w:rPr>
      <w:b/>
      <w:color w:val="auto"/>
    </w:rPr>
  </w:style>
  <w:style w:type="paragraph" w:styleId="HTML">
    <w:name w:val="HTML Preformatted"/>
    <w:basedOn w:val="a"/>
    <w:link w:val="HTML0"/>
    <w:uiPriority w:val="99"/>
    <w:unhideWhenUsed/>
    <w:rsid w:val="00E86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64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86437"/>
  </w:style>
  <w:style w:type="character" w:customStyle="1" w:styleId="apple-converted-space">
    <w:name w:val="apple-converted-space"/>
    <w:rsid w:val="00E86437"/>
  </w:style>
  <w:style w:type="paragraph" w:customStyle="1" w:styleId="ConsPlusCell">
    <w:name w:val="ConsPlusCell"/>
    <w:uiPriority w:val="99"/>
    <w:rsid w:val="00E86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 Spacing"/>
    <w:uiPriority w:val="1"/>
    <w:qFormat/>
    <w:rsid w:val="00676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792&amp;date=18.09.2019&amp;dst=100019&amp;fld=134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15" Type="http://schemas.openxmlformats.org/officeDocument/2006/relationships/image" Target="media/image7.wmf"/><Relationship Id="rId23" Type="http://schemas.openxmlformats.org/officeDocument/2006/relationships/hyperlink" Target="https://login.consultant.ru/link/?req=doc&amp;base=LAW&amp;n=311977&amp;date=18.09.2019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https://login.consultant.ru/link/?req=doc&amp;base=LAW&amp;n=311977&amp;date=18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2021-09-16T07:16:00Z</dcterms:created>
  <dcterms:modified xsi:type="dcterms:W3CDTF">2021-09-16T07:24:00Z</dcterms:modified>
</cp:coreProperties>
</file>