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1C" w:rsidRDefault="00A94F1C" w:rsidP="009A4145">
      <w:pPr>
        <w:ind w:left="-567"/>
        <w:jc w:val="center"/>
      </w:pPr>
      <w:r>
        <w:rPr>
          <w:noProof/>
        </w:rPr>
        <w:drawing>
          <wp:inline distT="0" distB="0" distL="0" distR="0">
            <wp:extent cx="847725" cy="103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F1C" w:rsidRDefault="00A94F1C" w:rsidP="009A4145">
      <w:pPr>
        <w:ind w:left="-567"/>
      </w:pPr>
    </w:p>
    <w:p w:rsidR="00A94F1C" w:rsidRDefault="00A94F1C" w:rsidP="009A4145">
      <w:pPr>
        <w:ind w:left="-567"/>
        <w:jc w:val="center"/>
        <w:rPr>
          <w:rFonts w:ascii="Estrangelo Edessa" w:eastAsia="Arial Unicode MS" w:hAnsi="Estrangelo Edessa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АДМИНИСТРАЦИЯ ГОРОДА ЛОБНЯ</w:t>
      </w:r>
    </w:p>
    <w:p w:rsidR="00A94F1C" w:rsidRDefault="00A94F1C" w:rsidP="009A4145">
      <w:pPr>
        <w:ind w:left="-567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МОСКОВСКОЙ ОБЛАСТИ</w:t>
      </w:r>
    </w:p>
    <w:p w:rsidR="00A94F1C" w:rsidRDefault="00A94F1C" w:rsidP="00A94F1C">
      <w:pPr>
        <w:jc w:val="center"/>
        <w:rPr>
          <w:rFonts w:eastAsia="Arial Unicode MS"/>
          <w:b/>
          <w:sz w:val="28"/>
          <w:szCs w:val="28"/>
        </w:rPr>
      </w:pPr>
    </w:p>
    <w:p w:rsidR="00A94F1C" w:rsidRPr="00F600F8" w:rsidRDefault="00A94F1C" w:rsidP="00A94F1C">
      <w:pPr>
        <w:ind w:left="-426" w:hanging="142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F600F8">
        <w:rPr>
          <w:rFonts w:ascii="Arial" w:eastAsia="Arial Unicode MS" w:hAnsi="Arial" w:cs="Arial"/>
          <w:sz w:val="22"/>
          <w:szCs w:val="22"/>
        </w:rPr>
        <w:t xml:space="preserve">141730, г. Лобня, ул. Ленина, 21               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F600F8">
        <w:rPr>
          <w:rFonts w:ascii="Arial" w:eastAsia="Arial Unicode MS" w:hAnsi="Arial" w:cs="Arial"/>
          <w:sz w:val="22"/>
          <w:szCs w:val="22"/>
        </w:rPr>
        <w:t xml:space="preserve">                                   </w:t>
      </w:r>
      <w:r>
        <w:rPr>
          <w:rFonts w:ascii="Arial" w:eastAsia="Arial Unicode MS" w:hAnsi="Arial" w:cs="Arial"/>
          <w:sz w:val="22"/>
          <w:szCs w:val="22"/>
        </w:rPr>
        <w:t xml:space="preserve">   </w:t>
      </w:r>
      <w:r w:rsidRPr="00F600F8">
        <w:rPr>
          <w:rFonts w:ascii="Arial" w:eastAsia="Arial Unicode MS" w:hAnsi="Arial" w:cs="Arial"/>
          <w:sz w:val="22"/>
          <w:szCs w:val="22"/>
        </w:rPr>
        <w:t xml:space="preserve"> тел./факс (495) 577-12-43</w:t>
      </w:r>
    </w:p>
    <w:tbl>
      <w:tblPr>
        <w:tblW w:w="9617" w:type="dxa"/>
        <w:tblInd w:w="-243" w:type="dxa"/>
        <w:tblBorders>
          <w:top w:val="single" w:sz="4" w:space="0" w:color="auto"/>
        </w:tblBorders>
        <w:tblLook w:val="0000"/>
      </w:tblPr>
      <w:tblGrid>
        <w:gridCol w:w="9617"/>
      </w:tblGrid>
      <w:tr w:rsidR="00A94F1C" w:rsidTr="00120D05">
        <w:trPr>
          <w:trHeight w:val="122"/>
        </w:trPr>
        <w:tc>
          <w:tcPr>
            <w:tcW w:w="9617" w:type="dxa"/>
            <w:tcBorders>
              <w:top w:val="thickThinSmallGap" w:sz="12" w:space="0" w:color="auto"/>
            </w:tcBorders>
          </w:tcPr>
          <w:p w:rsidR="00A94F1C" w:rsidRDefault="00A94F1C" w:rsidP="00120D05"/>
        </w:tc>
      </w:tr>
    </w:tbl>
    <w:p w:rsidR="003B01CB" w:rsidRDefault="003B01CB" w:rsidP="003B01CB">
      <w:pPr>
        <w:jc w:val="center"/>
        <w:rPr>
          <w:bCs/>
        </w:rPr>
      </w:pPr>
      <w:r>
        <w:rPr>
          <w:bCs/>
        </w:rPr>
        <w:t>АДМИНИСТРАЦИЯ ГОРОДА ЛОБНЯ</w:t>
      </w:r>
    </w:p>
    <w:p w:rsidR="003B01CB" w:rsidRDefault="003B01CB" w:rsidP="003B01CB">
      <w:pPr>
        <w:jc w:val="center"/>
        <w:rPr>
          <w:bCs/>
        </w:rPr>
      </w:pPr>
      <w:r>
        <w:rPr>
          <w:bCs/>
        </w:rPr>
        <w:t>информирует</w:t>
      </w:r>
    </w:p>
    <w:p w:rsidR="003B01CB" w:rsidRDefault="003B01CB" w:rsidP="003B01CB"/>
    <w:p w:rsidR="003B01CB" w:rsidRDefault="003B01CB" w:rsidP="003B01CB">
      <w:pPr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>Извещение № 1</w:t>
      </w:r>
    </w:p>
    <w:p w:rsidR="003B01CB" w:rsidRDefault="003B01CB" w:rsidP="003B01CB">
      <w:pPr>
        <w:autoSpaceDE w:val="0"/>
        <w:ind w:right="125" w:firstLine="708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В соответствии со статьей 39.18 Земельного кодекса Российской Федерации </w:t>
      </w:r>
    </w:p>
    <w:p w:rsidR="003B01CB" w:rsidRDefault="003B01CB" w:rsidP="003B01CB">
      <w:pPr>
        <w:autoSpaceDE w:val="0"/>
        <w:ind w:right="125" w:firstLine="708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 xml:space="preserve">информируем о возможности предоставлении в аренду </w:t>
      </w:r>
    </w:p>
    <w:p w:rsidR="003B01CB" w:rsidRDefault="003B01CB" w:rsidP="003B01CB">
      <w:pPr>
        <w:autoSpaceDE w:val="0"/>
        <w:ind w:right="125" w:firstLine="708"/>
        <w:jc w:val="center"/>
        <w:rPr>
          <w:rFonts w:eastAsia="Times New Roman CYR"/>
          <w:bCs/>
        </w:rPr>
      </w:pPr>
      <w:r>
        <w:rPr>
          <w:rFonts w:eastAsia="Times New Roman CYR"/>
          <w:bCs/>
        </w:rPr>
        <w:t>земельного участка в кадастровом квартале 50:41:0040120 (предстоит образовать):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</w:p>
    <w:p w:rsidR="003B01CB" w:rsidRDefault="003B01CB" w:rsidP="003B01CB">
      <w:pPr>
        <w:pStyle w:val="a8"/>
        <w:ind w:left="284"/>
        <w:jc w:val="both"/>
        <w:rPr>
          <w:b/>
        </w:rPr>
      </w:pPr>
      <w:r>
        <w:t>Земельный участок площадь 700 кв</w:t>
      </w:r>
      <w:proofErr w:type="gramStart"/>
      <w:r>
        <w:t>.м</w:t>
      </w:r>
      <w:proofErr w:type="gramEnd"/>
      <w:r>
        <w:t>, местоположение: Московская область, город Лобня, мкр.Луговая, ул</w:t>
      </w:r>
      <w:proofErr w:type="gramStart"/>
      <w:r>
        <w:t>.О</w:t>
      </w:r>
      <w:proofErr w:type="gramEnd"/>
      <w:r>
        <w:t>ктябрьская, вид разрешенного использования – для индивидуального жилищного строительства, категория земель – земли населенных пунктов;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  <w:lang w:eastAsia="ar-SA"/>
        </w:rPr>
      </w:pPr>
      <w:proofErr w:type="gramStart"/>
      <w:r>
        <w:rPr>
          <w:rFonts w:eastAsia="Times New Roman CYR"/>
        </w:rPr>
        <w:t xml:space="preserve">Граждане, заинтересованные в предоставлении вышеуказанного земельного участка для индивидуального жилищного строительства, со дня опубликования настоящего извещения в газете «Лобня», на сайте </w:t>
      </w:r>
      <w:r>
        <w:t xml:space="preserve">городского округа Лобня </w:t>
      </w:r>
      <w:hyperlink r:id="rId6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.лобня.рф</w:t>
        </w:r>
      </w:hyperlink>
      <w:r>
        <w:rPr>
          <w:rStyle w:val="a6"/>
        </w:rPr>
        <w:t xml:space="preserve"> </w:t>
      </w:r>
      <w:r>
        <w:rPr>
          <w:rFonts w:eastAsia="Times New Roman CYR"/>
        </w:rPr>
        <w:t xml:space="preserve"> и на официальном сайте Российской Федерации </w:t>
      </w:r>
      <w:hyperlink r:id="rId7" w:history="1">
        <w:r>
          <w:rPr>
            <w:rStyle w:val="a6"/>
          </w:rPr>
          <w:t>www.torgi.gov.ru</w:t>
        </w:r>
      </w:hyperlink>
      <w:r>
        <w:rPr>
          <w:rStyle w:val="a6"/>
        </w:rPr>
        <w:t xml:space="preserve"> ,</w:t>
      </w:r>
      <w:r>
        <w:rPr>
          <w:rFonts w:eastAsia="Times New Roman CYR"/>
        </w:rPr>
        <w:t xml:space="preserve">  вправе подать заявление (Приложение к Извещению № 1) о намерении участвовать в аукционе на право заключения договора аренды земельного участка. </w:t>
      </w:r>
      <w:proofErr w:type="gramEnd"/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  <w:b/>
        </w:rPr>
      </w:pPr>
      <w:r>
        <w:rPr>
          <w:rFonts w:eastAsia="Times New Roman CYR"/>
        </w:rPr>
        <w:t xml:space="preserve">Дата и время начала приема заявлений       – </w:t>
      </w:r>
      <w:r>
        <w:rPr>
          <w:rFonts w:eastAsia="Times New Roman CYR"/>
          <w:b/>
        </w:rPr>
        <w:t>16.03.2018 в 10:00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 xml:space="preserve">Дата и время окончания приема заявлений – </w:t>
      </w:r>
      <w:r>
        <w:rPr>
          <w:rFonts w:eastAsia="Times New Roman CYR"/>
          <w:b/>
        </w:rPr>
        <w:t>17.0</w:t>
      </w:r>
      <w:r w:rsidR="003776E3">
        <w:rPr>
          <w:rFonts w:eastAsia="Times New Roman CYR"/>
          <w:b/>
        </w:rPr>
        <w:t>4</w:t>
      </w:r>
      <w:r>
        <w:rPr>
          <w:rFonts w:eastAsia="Times New Roman CYR"/>
          <w:b/>
        </w:rPr>
        <w:t>.2018</w:t>
      </w:r>
      <w:r>
        <w:rPr>
          <w:rFonts w:eastAsia="Times New Roman CYR"/>
        </w:rPr>
        <w:t xml:space="preserve"> </w:t>
      </w:r>
      <w:r>
        <w:rPr>
          <w:rFonts w:eastAsia="Times New Roman CYR"/>
          <w:b/>
        </w:rPr>
        <w:t>в 17:00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  <w:b/>
        </w:rPr>
      </w:pPr>
      <w:r>
        <w:rPr>
          <w:rFonts w:eastAsia="Times New Roman CYR"/>
        </w:rPr>
        <w:t xml:space="preserve">Дата подведения итогов                                 -  </w:t>
      </w:r>
      <w:r>
        <w:rPr>
          <w:rFonts w:eastAsia="Times New Roman CYR"/>
          <w:b/>
        </w:rPr>
        <w:t>18.0</w:t>
      </w:r>
      <w:r w:rsidR="003776E3">
        <w:rPr>
          <w:rFonts w:eastAsia="Times New Roman CYR"/>
          <w:b/>
        </w:rPr>
        <w:t>4</w:t>
      </w:r>
      <w:r>
        <w:rPr>
          <w:rFonts w:eastAsia="Times New Roman CYR"/>
          <w:b/>
        </w:rPr>
        <w:t>.2018 в 12:00</w:t>
      </w:r>
    </w:p>
    <w:p w:rsidR="003B01CB" w:rsidRDefault="003B01CB" w:rsidP="003B01CB">
      <w:pPr>
        <w:autoSpaceDE w:val="0"/>
        <w:ind w:firstLine="697"/>
        <w:jc w:val="both"/>
        <w:rPr>
          <w:rFonts w:eastAsia="Times New Roman CYR"/>
        </w:rPr>
      </w:pPr>
      <w:r>
        <w:rPr>
          <w:rFonts w:eastAsia="Times New Roman CYR"/>
        </w:rPr>
        <w:t>Заявления о намерении участвовать в аукционе на право заключения договора аренды земельного участка принимаются в письменной форме в течение 30 дней со дня опубликования настоящего извещения по рабочим дням с 10 час. 00 мин. до 17 час. 00 мин., перерыв на обед – с 13 час. 00 мин. до 14 час. 00 мин.  по адресу: 141730, Московская область, г</w:t>
      </w:r>
      <w:proofErr w:type="gramStart"/>
      <w:r>
        <w:rPr>
          <w:rFonts w:eastAsia="Times New Roman CYR"/>
        </w:rPr>
        <w:t>.Л</w:t>
      </w:r>
      <w:proofErr w:type="gramEnd"/>
      <w:r>
        <w:rPr>
          <w:rFonts w:eastAsia="Times New Roman CYR"/>
        </w:rPr>
        <w:t xml:space="preserve">обня, ул.Ленина, д.21, </w:t>
      </w:r>
      <w:proofErr w:type="spellStart"/>
      <w:r>
        <w:rPr>
          <w:rFonts w:eastAsia="Times New Roman CYR"/>
        </w:rPr>
        <w:t>каб</w:t>
      </w:r>
      <w:proofErr w:type="spellEnd"/>
      <w:r>
        <w:rPr>
          <w:rFonts w:eastAsia="Times New Roman CYR"/>
        </w:rPr>
        <w:t xml:space="preserve">. №317 и по адресу электронной почты: </w:t>
      </w:r>
      <w:hyperlink r:id="rId8" w:tgtFrame="_blank" w:history="1">
        <w:r>
          <w:rPr>
            <w:rStyle w:val="a6"/>
            <w:shd w:val="clear" w:color="auto" w:fill="FFFFFF"/>
          </w:rPr>
          <w:t>lobadm@lobadm.ru</w:t>
        </w:r>
      </w:hyperlink>
      <w:r>
        <w:t>.</w:t>
      </w:r>
    </w:p>
    <w:p w:rsidR="003B01CB" w:rsidRDefault="003B01CB" w:rsidP="003B01CB">
      <w:pPr>
        <w:autoSpaceDE w:val="0"/>
        <w:ind w:firstLine="697"/>
        <w:jc w:val="both"/>
      </w:pPr>
      <w:proofErr w:type="gramStart"/>
      <w: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</w:t>
      </w:r>
      <w:r>
        <w:rPr>
          <w:rFonts w:eastAsia="Times New Roman CYR"/>
        </w:rPr>
        <w:t xml:space="preserve">электронной подписью заявителя в соответствии с постановлением Правительства Российской Федерации от 25.06.2012 № 634 </w:t>
      </w:r>
      <w:r>
        <w:t>«</w:t>
      </w:r>
      <w:r>
        <w:rPr>
          <w:rFonts w:eastAsia="Times New Roman CYR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t>»).</w:t>
      </w:r>
      <w:proofErr w:type="gramEnd"/>
    </w:p>
    <w:p w:rsidR="003B01CB" w:rsidRDefault="003B01CB" w:rsidP="003B01CB">
      <w:pPr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>В заявлении необходимо указать: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  <w:r>
        <w:t xml:space="preserve">- </w:t>
      </w:r>
      <w:r>
        <w:rPr>
          <w:rFonts w:eastAsia="Times New Roman CYR"/>
        </w:rPr>
        <w:t>фамилию, имя, отчество, место жительства заявителя и реквизиты документа, удостоверяющего личность заявителя (для гражданина);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  <w:r>
        <w:t xml:space="preserve"> </w:t>
      </w:r>
      <w:r>
        <w:rPr>
          <w:rFonts w:eastAsia="Times New Roman CYR"/>
        </w:rPr>
        <w:t>К заявлению необходимо приложить: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  <w:r>
        <w:t xml:space="preserve">-   </w:t>
      </w:r>
      <w:r>
        <w:rPr>
          <w:rFonts w:eastAsia="Times New Roman CYR"/>
        </w:rPr>
        <w:t>копию паспорта (для гражданина);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  <w:r>
        <w:t xml:space="preserve">-  </w:t>
      </w:r>
      <w:r>
        <w:rPr>
          <w:rFonts w:eastAsia="Times New Roman CYR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lastRenderedPageBreak/>
        <w:t xml:space="preserve">Форма заявления о намерении участвовать в аукционе на право заключения договора аренды земельного участка размещена на сайте </w:t>
      </w:r>
      <w:r>
        <w:t xml:space="preserve">городского округа Лобня </w:t>
      </w:r>
      <w:hyperlink r:id="rId9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.лобня.рф</w:t>
        </w:r>
      </w:hyperlink>
      <w:r>
        <w:rPr>
          <w:rStyle w:val="a6"/>
        </w:rPr>
        <w:t xml:space="preserve"> </w:t>
      </w:r>
      <w:r>
        <w:rPr>
          <w:rFonts w:eastAsia="Times New Roman CYR"/>
        </w:rPr>
        <w:t xml:space="preserve"> и на официальном сайте Российской Федерации </w:t>
      </w:r>
      <w:hyperlink r:id="rId10" w:history="1">
        <w:r>
          <w:rPr>
            <w:rStyle w:val="a6"/>
          </w:rPr>
          <w:t>www.torgi.gov.ru</w:t>
        </w:r>
      </w:hyperlink>
      <w:r>
        <w:rPr>
          <w:rStyle w:val="a6"/>
        </w:rPr>
        <w:t>.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  <w:r>
        <w:rPr>
          <w:rFonts w:eastAsia="Times New Roman CYR"/>
        </w:rPr>
        <w:t xml:space="preserve">Ознакомиться с документацией в отношении земельного участка, в том числе со схемой расположения земельного участка, можно с момента приема заявлений по адресу: </w:t>
      </w:r>
      <w:proofErr w:type="gramStart"/>
      <w:r>
        <w:rPr>
          <w:rFonts w:eastAsia="Times New Roman CYR"/>
        </w:rPr>
        <w:t xml:space="preserve">Московская обл., г. Лобня, ул. Ленина, д.21, 3 этаж, </w:t>
      </w:r>
      <w:proofErr w:type="spellStart"/>
      <w:r>
        <w:rPr>
          <w:rFonts w:eastAsia="Times New Roman CYR"/>
        </w:rPr>
        <w:t>каб</w:t>
      </w:r>
      <w:proofErr w:type="spellEnd"/>
      <w:r>
        <w:rPr>
          <w:rFonts w:eastAsia="Times New Roman CYR"/>
        </w:rPr>
        <w:t>. № 317, контактный телефон: 8 (495) 577-31-05 (приемный день - Вторник, часы приема - с 10 час. 00 мин. до 17 час. 00 мин., перерыв на обед – с 13 час. 00 мин. до 14 час. 00 мин.).</w:t>
      </w:r>
      <w:proofErr w:type="gramEnd"/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ind w:firstLine="709"/>
        <w:jc w:val="both"/>
        <w:rPr>
          <w:rFonts w:eastAsia="Times New Roman CYR"/>
        </w:rPr>
      </w:pPr>
    </w:p>
    <w:p w:rsidR="003B01CB" w:rsidRDefault="003B01CB" w:rsidP="003B01CB">
      <w:r>
        <w:t>Заместитель Главы Администрации</w:t>
      </w:r>
    </w:p>
    <w:p w:rsidR="003B01CB" w:rsidRDefault="003B01CB" w:rsidP="003B01CB">
      <w:r>
        <w:t>города Лобня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О.В.Петрова</w:t>
      </w: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  <w:lang w:eastAsia="ar-SA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Default="003B01CB" w:rsidP="003B01CB">
      <w:pPr>
        <w:tabs>
          <w:tab w:val="left" w:pos="709"/>
          <w:tab w:val="left" w:pos="851"/>
        </w:tabs>
        <w:autoSpaceDE w:val="0"/>
        <w:jc w:val="both"/>
        <w:rPr>
          <w:rFonts w:eastAsia="Times New Roman CYR"/>
        </w:rPr>
      </w:pPr>
    </w:p>
    <w:p w:rsidR="003B01CB" w:rsidRPr="003B01CB" w:rsidRDefault="003B01CB" w:rsidP="003B01CB">
      <w:pPr>
        <w:tabs>
          <w:tab w:val="left" w:pos="3495"/>
        </w:tabs>
        <w:jc w:val="both"/>
        <w:rPr>
          <w:sz w:val="16"/>
          <w:szCs w:val="16"/>
        </w:rPr>
      </w:pPr>
      <w:r w:rsidRPr="003B01CB">
        <w:rPr>
          <w:sz w:val="16"/>
          <w:szCs w:val="16"/>
        </w:rPr>
        <w:t>Исп. Вилянская Я.А.</w:t>
      </w:r>
    </w:p>
    <w:p w:rsidR="0011586B" w:rsidRPr="003B01CB" w:rsidRDefault="003B01CB" w:rsidP="003B01CB">
      <w:pPr>
        <w:rPr>
          <w:b/>
          <w:sz w:val="16"/>
          <w:szCs w:val="16"/>
        </w:rPr>
      </w:pPr>
      <w:r w:rsidRPr="003B01CB">
        <w:rPr>
          <w:sz w:val="16"/>
          <w:szCs w:val="16"/>
        </w:rPr>
        <w:t>т. 8-495-577-31-05</w:t>
      </w:r>
    </w:p>
    <w:sectPr w:rsidR="0011586B" w:rsidRPr="003B01CB" w:rsidSect="00B56643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4A23"/>
    <w:multiLevelType w:val="hybridMultilevel"/>
    <w:tmpl w:val="BCD822D2"/>
    <w:lvl w:ilvl="0" w:tplc="BC940894">
      <w:start w:val="1"/>
      <w:numFmt w:val="decimal"/>
      <w:lvlText w:val="%1."/>
      <w:lvlJc w:val="left"/>
      <w:pPr>
        <w:tabs>
          <w:tab w:val="num" w:pos="797"/>
        </w:tabs>
        <w:ind w:left="96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9877F99"/>
    <w:multiLevelType w:val="hybridMultilevel"/>
    <w:tmpl w:val="5FAEF25C"/>
    <w:lvl w:ilvl="0" w:tplc="CABAD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5F52B7"/>
    <w:multiLevelType w:val="hybridMultilevel"/>
    <w:tmpl w:val="5A18D5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B3765"/>
    <w:multiLevelType w:val="hybridMultilevel"/>
    <w:tmpl w:val="8138E73C"/>
    <w:lvl w:ilvl="0" w:tplc="02F25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DA50E9"/>
    <w:multiLevelType w:val="hybridMultilevel"/>
    <w:tmpl w:val="C154442C"/>
    <w:lvl w:ilvl="0" w:tplc="69520C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225C4"/>
    <w:rsid w:val="00031F9E"/>
    <w:rsid w:val="00051A1D"/>
    <w:rsid w:val="0008290F"/>
    <w:rsid w:val="000864FE"/>
    <w:rsid w:val="00087611"/>
    <w:rsid w:val="00087E91"/>
    <w:rsid w:val="000962DF"/>
    <w:rsid w:val="000B5E40"/>
    <w:rsid w:val="000C7116"/>
    <w:rsid w:val="000D17F2"/>
    <w:rsid w:val="000E185E"/>
    <w:rsid w:val="000E2815"/>
    <w:rsid w:val="000E6086"/>
    <w:rsid w:val="0011586B"/>
    <w:rsid w:val="00153E83"/>
    <w:rsid w:val="001F4BDD"/>
    <w:rsid w:val="002114E3"/>
    <w:rsid w:val="00226C1B"/>
    <w:rsid w:val="00242FC5"/>
    <w:rsid w:val="003060F9"/>
    <w:rsid w:val="00315BA5"/>
    <w:rsid w:val="00335F74"/>
    <w:rsid w:val="003776E3"/>
    <w:rsid w:val="0038545E"/>
    <w:rsid w:val="003A5BDF"/>
    <w:rsid w:val="003B01CB"/>
    <w:rsid w:val="003D5297"/>
    <w:rsid w:val="00423CF8"/>
    <w:rsid w:val="00461430"/>
    <w:rsid w:val="004816B9"/>
    <w:rsid w:val="004B0D0F"/>
    <w:rsid w:val="004D6CAF"/>
    <w:rsid w:val="004F0DB1"/>
    <w:rsid w:val="00514371"/>
    <w:rsid w:val="00561007"/>
    <w:rsid w:val="00582A5B"/>
    <w:rsid w:val="005B68A6"/>
    <w:rsid w:val="005C5110"/>
    <w:rsid w:val="005D0AC2"/>
    <w:rsid w:val="005D0C4C"/>
    <w:rsid w:val="005F3209"/>
    <w:rsid w:val="00600668"/>
    <w:rsid w:val="0060605F"/>
    <w:rsid w:val="00610FA2"/>
    <w:rsid w:val="006127AA"/>
    <w:rsid w:val="006162CC"/>
    <w:rsid w:val="00641EAA"/>
    <w:rsid w:val="006549C6"/>
    <w:rsid w:val="00662908"/>
    <w:rsid w:val="006A66B7"/>
    <w:rsid w:val="006B46B3"/>
    <w:rsid w:val="006C0DB4"/>
    <w:rsid w:val="006E145B"/>
    <w:rsid w:val="006F2F4C"/>
    <w:rsid w:val="00704E77"/>
    <w:rsid w:val="00711163"/>
    <w:rsid w:val="00732425"/>
    <w:rsid w:val="00757904"/>
    <w:rsid w:val="00771D70"/>
    <w:rsid w:val="00781958"/>
    <w:rsid w:val="007C0DED"/>
    <w:rsid w:val="007D65CF"/>
    <w:rsid w:val="00832F3F"/>
    <w:rsid w:val="0083497B"/>
    <w:rsid w:val="0083760B"/>
    <w:rsid w:val="00866FFB"/>
    <w:rsid w:val="00875CEA"/>
    <w:rsid w:val="00892D59"/>
    <w:rsid w:val="008B1F05"/>
    <w:rsid w:val="008B7366"/>
    <w:rsid w:val="008C06BB"/>
    <w:rsid w:val="008C1C1E"/>
    <w:rsid w:val="008C51FD"/>
    <w:rsid w:val="008D3994"/>
    <w:rsid w:val="008E138C"/>
    <w:rsid w:val="00902709"/>
    <w:rsid w:val="0090608B"/>
    <w:rsid w:val="0090624F"/>
    <w:rsid w:val="00911F34"/>
    <w:rsid w:val="00931AF2"/>
    <w:rsid w:val="009374B6"/>
    <w:rsid w:val="00956B69"/>
    <w:rsid w:val="00967A11"/>
    <w:rsid w:val="00974C4E"/>
    <w:rsid w:val="009758B4"/>
    <w:rsid w:val="009A4145"/>
    <w:rsid w:val="009A627C"/>
    <w:rsid w:val="009B0BFD"/>
    <w:rsid w:val="009D6732"/>
    <w:rsid w:val="009E4BBB"/>
    <w:rsid w:val="00A30BCA"/>
    <w:rsid w:val="00A3509D"/>
    <w:rsid w:val="00A54506"/>
    <w:rsid w:val="00A65D4D"/>
    <w:rsid w:val="00A73DEF"/>
    <w:rsid w:val="00A94F1C"/>
    <w:rsid w:val="00AC3419"/>
    <w:rsid w:val="00AC6ED6"/>
    <w:rsid w:val="00B3591C"/>
    <w:rsid w:val="00B56643"/>
    <w:rsid w:val="00B83BCB"/>
    <w:rsid w:val="00BB05DB"/>
    <w:rsid w:val="00BB4C37"/>
    <w:rsid w:val="00BC02C5"/>
    <w:rsid w:val="00BC30F4"/>
    <w:rsid w:val="00BE7428"/>
    <w:rsid w:val="00C01F90"/>
    <w:rsid w:val="00C225C4"/>
    <w:rsid w:val="00C36B53"/>
    <w:rsid w:val="00C6404C"/>
    <w:rsid w:val="00D276F7"/>
    <w:rsid w:val="00D53D2E"/>
    <w:rsid w:val="00D6475A"/>
    <w:rsid w:val="00D70F5A"/>
    <w:rsid w:val="00DB2348"/>
    <w:rsid w:val="00DB39B8"/>
    <w:rsid w:val="00DC4F5D"/>
    <w:rsid w:val="00DE2C83"/>
    <w:rsid w:val="00E00C3F"/>
    <w:rsid w:val="00E0271B"/>
    <w:rsid w:val="00E12F6C"/>
    <w:rsid w:val="00E557EB"/>
    <w:rsid w:val="00E97FD5"/>
    <w:rsid w:val="00F0094A"/>
    <w:rsid w:val="00F224AC"/>
    <w:rsid w:val="00F411FA"/>
    <w:rsid w:val="00F42701"/>
    <w:rsid w:val="00F45195"/>
    <w:rsid w:val="00F66682"/>
    <w:rsid w:val="00FA61CF"/>
    <w:rsid w:val="00FB6104"/>
    <w:rsid w:val="00FC0A22"/>
    <w:rsid w:val="00FD7412"/>
    <w:rsid w:val="00F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5C4"/>
    <w:rPr>
      <w:sz w:val="24"/>
      <w:szCs w:val="24"/>
    </w:rPr>
  </w:style>
  <w:style w:type="paragraph" w:styleId="1">
    <w:name w:val="heading 1"/>
    <w:basedOn w:val="a"/>
    <w:next w:val="a"/>
    <w:qFormat/>
    <w:rsid w:val="00C225C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225C4"/>
    <w:pPr>
      <w:keepNext/>
      <w:widowControl w:val="0"/>
      <w:shd w:val="clear" w:color="auto" w:fill="FFFFFF"/>
      <w:autoSpaceDE w:val="0"/>
      <w:autoSpaceDN w:val="0"/>
      <w:adjustRightInd w:val="0"/>
      <w:ind w:left="23"/>
      <w:outlineLvl w:val="1"/>
    </w:pPr>
    <w:rPr>
      <w:color w:val="323232"/>
      <w:spacing w:val="-5"/>
      <w:w w:val="10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225C4"/>
    <w:pPr>
      <w:ind w:left="-720"/>
      <w:jc w:val="both"/>
    </w:pPr>
    <w:rPr>
      <w:sz w:val="36"/>
      <w:szCs w:val="36"/>
    </w:rPr>
  </w:style>
  <w:style w:type="paragraph" w:styleId="a4">
    <w:name w:val="Body Text"/>
    <w:basedOn w:val="a"/>
    <w:link w:val="a5"/>
    <w:rsid w:val="00C225C4"/>
    <w:pPr>
      <w:jc w:val="both"/>
    </w:pPr>
    <w:rPr>
      <w:bCs/>
      <w:sz w:val="28"/>
      <w:szCs w:val="28"/>
    </w:rPr>
  </w:style>
  <w:style w:type="paragraph" w:styleId="20">
    <w:name w:val="Body Text 2"/>
    <w:basedOn w:val="a"/>
    <w:rsid w:val="00C225C4"/>
    <w:pPr>
      <w:jc w:val="both"/>
    </w:pPr>
    <w:rPr>
      <w:b/>
      <w:sz w:val="28"/>
      <w:szCs w:val="28"/>
    </w:rPr>
  </w:style>
  <w:style w:type="paragraph" w:styleId="21">
    <w:name w:val="Body Text Indent 2"/>
    <w:basedOn w:val="a"/>
    <w:rsid w:val="00C225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720"/>
      <w:jc w:val="both"/>
    </w:pPr>
    <w:rPr>
      <w:b/>
      <w:sz w:val="32"/>
      <w:szCs w:val="26"/>
    </w:rPr>
  </w:style>
  <w:style w:type="character" w:styleId="a6">
    <w:name w:val="Hyperlink"/>
    <w:basedOn w:val="a0"/>
    <w:rsid w:val="00C225C4"/>
    <w:rPr>
      <w:color w:val="0000FF"/>
      <w:u w:val="single"/>
    </w:rPr>
  </w:style>
  <w:style w:type="paragraph" w:customStyle="1" w:styleId="6">
    <w:name w:val="заголовок 6"/>
    <w:basedOn w:val="a"/>
    <w:next w:val="a"/>
    <w:rsid w:val="00C225C4"/>
    <w:pPr>
      <w:keepNext/>
      <w:widowControl w:val="0"/>
      <w:autoSpaceDE w:val="0"/>
      <w:autoSpaceDN w:val="0"/>
      <w:jc w:val="right"/>
      <w:outlineLvl w:val="5"/>
    </w:pPr>
    <w:rPr>
      <w:vanish/>
      <w:sz w:val="20"/>
      <w:szCs w:val="20"/>
      <w:lang w:val="en-US"/>
    </w:rPr>
  </w:style>
  <w:style w:type="paragraph" w:styleId="a7">
    <w:name w:val="Balloon Text"/>
    <w:basedOn w:val="a"/>
    <w:semiHidden/>
    <w:rsid w:val="00D70F5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031F9E"/>
    <w:rPr>
      <w:bCs/>
      <w:sz w:val="28"/>
      <w:szCs w:val="28"/>
    </w:rPr>
  </w:style>
  <w:style w:type="paragraph" w:styleId="a8">
    <w:name w:val="List Paragraph"/>
    <w:basedOn w:val="a"/>
    <w:uiPriority w:val="34"/>
    <w:qFormat/>
    <w:rsid w:val="00031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badm@lob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3;&#1086;&#1073;&#1085;&#1103;.&#1088;&#1092;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3;&#1086;&#1073;&#1085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ФГБУ «Центральное УГМС»</vt:lpstr>
    </vt:vector>
  </TitlesOfParts>
  <Company>Work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ФГБУ «Центральное УГМС»</dc:title>
  <dc:creator>ЦПСОИ</dc:creator>
  <cp:lastModifiedBy>y_vilyanskaya</cp:lastModifiedBy>
  <cp:revision>3</cp:revision>
  <cp:lastPrinted>2018-03-14T13:44:00Z</cp:lastPrinted>
  <dcterms:created xsi:type="dcterms:W3CDTF">2018-03-14T13:45:00Z</dcterms:created>
  <dcterms:modified xsi:type="dcterms:W3CDTF">2018-03-16T07:12:00Z</dcterms:modified>
</cp:coreProperties>
</file>