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03" w:rsidRDefault="00AD1B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Title"/>
        <w:jc w:val="center"/>
      </w:pPr>
      <w:r>
        <w:t>МИНИСТЕРСТВО ТРАНСПОРТА РОССИЙСКОЙ ФЕДЕРАЦИИ</w:t>
      </w:r>
    </w:p>
    <w:p w:rsidR="00AD1B03" w:rsidRDefault="00AD1B03">
      <w:pPr>
        <w:pStyle w:val="ConsPlusTitle"/>
        <w:jc w:val="center"/>
      </w:pPr>
    </w:p>
    <w:p w:rsidR="00AD1B03" w:rsidRDefault="00AD1B03">
      <w:pPr>
        <w:pStyle w:val="ConsPlusTitle"/>
        <w:jc w:val="center"/>
      </w:pPr>
      <w:r>
        <w:t>ПРИКАЗ</w:t>
      </w:r>
    </w:p>
    <w:p w:rsidR="00AD1B03" w:rsidRDefault="00AD1B03">
      <w:pPr>
        <w:pStyle w:val="ConsPlusTitle"/>
        <w:jc w:val="center"/>
      </w:pPr>
      <w:r>
        <w:t>от 7 августа 2020 г. N 288</w:t>
      </w:r>
    </w:p>
    <w:p w:rsidR="00AD1B03" w:rsidRDefault="00AD1B03">
      <w:pPr>
        <w:pStyle w:val="ConsPlusTitle"/>
        <w:jc w:val="center"/>
      </w:pPr>
    </w:p>
    <w:p w:rsidR="00AD1B03" w:rsidRDefault="00AD1B03">
      <w:pPr>
        <w:pStyle w:val="ConsPlusTitle"/>
        <w:jc w:val="center"/>
      </w:pPr>
      <w:r>
        <w:t>О ПОРЯДКЕ</w:t>
      </w:r>
    </w:p>
    <w:p w:rsidR="00AD1B03" w:rsidRDefault="00AD1B03">
      <w:pPr>
        <w:pStyle w:val="ConsPlusTitle"/>
        <w:jc w:val="center"/>
      </w:pPr>
      <w:r>
        <w:t>ПРОВЕДЕНИЯ ОЦЕНКИ ТЕХНИЧЕСКОГО СОСТОЯНИЯ</w:t>
      </w:r>
    </w:p>
    <w:p w:rsidR="00AD1B03" w:rsidRDefault="00AD1B03">
      <w:pPr>
        <w:pStyle w:val="ConsPlusTitle"/>
        <w:jc w:val="center"/>
      </w:pPr>
      <w:r>
        <w:t>АВТОМОБИЛЬНЫХ ДОРОГ</w:t>
      </w:r>
    </w:p>
    <w:p w:rsidR="00AD1B03" w:rsidRDefault="00AD1B03">
      <w:pPr>
        <w:pStyle w:val="ConsPlusTitle"/>
        <w:jc w:val="center"/>
      </w:pPr>
      <w:r>
        <w:t xml:space="preserve">Документ утрачивает силу с 01.09.2026 </w:t>
      </w:r>
    </w:p>
    <w:p w:rsidR="00AD1B03" w:rsidRDefault="00AD1B03">
      <w:pPr>
        <w:pStyle w:val="ConsPlusTitle"/>
        <w:jc w:val="center"/>
      </w:pPr>
      <w:bookmarkStart w:id="0" w:name="_GoBack"/>
      <w:bookmarkEnd w:id="0"/>
      <w:r>
        <w:t xml:space="preserve">в связи с изданием Приказа </w:t>
      </w:r>
      <w:proofErr w:type="spellStart"/>
      <w:r>
        <w:t>Минстранса</w:t>
      </w:r>
      <w:proofErr w:type="spellEnd"/>
      <w:r>
        <w:t xml:space="preserve"> от 13.04.2026 № 150).</w:t>
      </w: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4 статьи 17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2008, N 30, ст. 3616) и </w:t>
      </w:r>
      <w:hyperlink r:id="rId5">
        <w:r>
          <w:rPr>
            <w:color w:val="0000FF"/>
          </w:rPr>
          <w:t>подпунктом 5.2.53.25 пункта 5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2009, N 3, ст. 378), приказываю: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Порядок</w:t>
        </w:r>
      </w:hyperlink>
      <w:r>
        <w:t xml:space="preserve"> проведения оценки технического состояния автомобильных дорог.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Минтранса России от 27 августа 2009 г. N 150 "О порядке проведения оценки технического состояния автомобильных дорог" (зарегистрирован Минюстом России 25 декабря 2009 г., регистрационный N 15860).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г. и действует до 1 января 2027 г.</w:t>
      </w: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AD1B03" w:rsidRDefault="00AD1B03">
      <w:pPr>
        <w:pStyle w:val="ConsPlusNormal"/>
        <w:jc w:val="right"/>
      </w:pPr>
      <w:r>
        <w:t>В.А.ТОКАРЕВ</w:t>
      </w: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jc w:val="right"/>
        <w:outlineLvl w:val="0"/>
      </w:pPr>
      <w:r>
        <w:t>Утвержден</w:t>
      </w:r>
    </w:p>
    <w:p w:rsidR="00AD1B03" w:rsidRDefault="00AD1B03">
      <w:pPr>
        <w:pStyle w:val="ConsPlusNormal"/>
        <w:jc w:val="right"/>
      </w:pPr>
      <w:r>
        <w:t>приказом Минтранса России</w:t>
      </w:r>
    </w:p>
    <w:p w:rsidR="00AD1B03" w:rsidRDefault="00AD1B03">
      <w:pPr>
        <w:pStyle w:val="ConsPlusNormal"/>
        <w:jc w:val="right"/>
      </w:pPr>
      <w:r>
        <w:t>от 7 августа 2020 г. N 288</w:t>
      </w: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Title"/>
        <w:jc w:val="center"/>
      </w:pPr>
      <w:bookmarkStart w:id="1" w:name="P29"/>
      <w:bookmarkEnd w:id="1"/>
      <w:r>
        <w:t>ПОРЯДОК</w:t>
      </w:r>
    </w:p>
    <w:p w:rsidR="00AD1B03" w:rsidRDefault="00AD1B03">
      <w:pPr>
        <w:pStyle w:val="ConsPlusTitle"/>
        <w:jc w:val="center"/>
      </w:pPr>
      <w:r>
        <w:t>ПРОВЕДЕНИЯ ОЦЕНКИ ТЕХНИЧЕСКОГО СОСТОЯНИЯ</w:t>
      </w:r>
    </w:p>
    <w:p w:rsidR="00AD1B03" w:rsidRDefault="00AD1B03">
      <w:pPr>
        <w:pStyle w:val="ConsPlusTitle"/>
        <w:jc w:val="center"/>
      </w:pPr>
      <w:r>
        <w:t>АВТОМОБИЛЬНЫХ ДОРОГ</w:t>
      </w: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ind w:firstLine="540"/>
        <w:jc w:val="both"/>
      </w:pPr>
      <w:r>
        <w:t>1. Настоящий Порядок устанавливает состав и периодичность работ по определению владельцами автомобильных дорог соответствия транспортно-эксплуатационных характеристик автомобильной дороги требованиям технических регламентов &lt;1&gt;.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Часть 4 статьи 17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2008, N 30 (ч. 2), ст. 3616).</w:t>
      </w: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ind w:firstLine="540"/>
        <w:jc w:val="both"/>
      </w:pPr>
      <w:r>
        <w:t>2. Оценка технического состояния автомобильных дорог проводится в отношении всех автомобильных дорог в Российской Федерации.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3. Оценка технического состояния автомобильных дорог в целях определения соответствия транспортно-эксплуатационных характеристик автомобильных дорог требованиям технических регламентов проводится владельцами автомобильных дорог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Допускается проведение оценки технического состояния автомобильных дорог на основании результатов обследования, выполненного иными лицами с разрешения владельцев автомобильных дорог.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4. При оценке технического состояния автомобильных дорог осуществляются следующие виды обследования: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1) первичное обследование, которое проводится один раз в 3 - 5 лет со дня проведения первичного обследования;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5. В процессе обследования автомобильных дорог определяются: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1) постоянные параметры и характеристики автомобильной дороги (далее - технический уровень автомобильной дороги):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ширина проезжей части и земляного полотна;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габарит приближения;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длины прямых, величины углов поворотов в плане трассы и величины их радиусов;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протяженность подъемов и спусков;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продольный и поперечный уклоны;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высота насыпи и глубина выемки;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габариты искусственных дорожных сооружений;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состояние элементов водоотвода;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состояние элементов обустройства дороги и технических средств организации дорожного движения;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продольная ровность и глубина колеи дорожного покрытия;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сцепные свойства дорожного покрытия и состояние обочин;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lastRenderedPageBreak/>
        <w:t>прочность дорожной одежды;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грузоподъемность искусственных дорожных сооружений;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средняя скорость движения транспортного потока;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безопасность движения транспортного потока;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пропускная способность, уровень загрузки автомобильной дороги движением;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среднегодовая суточная интенсивность движения и состав транспортного потока;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6. По результатам оценки технического состояния владельцем автомобильной дороги: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1) устанавливается соответствие транспортно-эксплуатационных характеристик автомобильной дороги требованиям технических регламентов;</w:t>
      </w:r>
    </w:p>
    <w:p w:rsidR="00AD1B03" w:rsidRDefault="00AD1B03">
      <w:pPr>
        <w:pStyle w:val="ConsPlusNormal"/>
        <w:spacing w:before="220"/>
        <w:ind w:firstLine="540"/>
        <w:jc w:val="both"/>
      </w:pPr>
      <w:r>
        <w:t>2)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дорогам.</w:t>
      </w: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jc w:val="both"/>
      </w:pPr>
    </w:p>
    <w:p w:rsidR="00AD1B03" w:rsidRDefault="00AD1B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FE6" w:rsidRDefault="00AD1B03"/>
    <w:sectPr w:rsidR="00EB3FE6" w:rsidSect="00B6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03"/>
    <w:rsid w:val="00021C40"/>
    <w:rsid w:val="00AD1B03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E2A7"/>
  <w15:chartTrackingRefBased/>
  <w15:docId w15:val="{AF426CEE-4ED6-4CBC-90C2-5F9FF444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1B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4992&amp;dst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6170" TargetMode="External"/><Relationship Id="rId5" Type="http://schemas.openxmlformats.org/officeDocument/2006/relationships/hyperlink" Target="https://login.consultant.ru/link/?req=doc&amp;base=LAW&amp;n=512722&amp;dst=100190" TargetMode="External"/><Relationship Id="rId4" Type="http://schemas.openxmlformats.org/officeDocument/2006/relationships/hyperlink" Target="https://login.consultant.ru/link/?req=doc&amp;base=LAW&amp;n=534992&amp;dst=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Гагарина Татьяна Васильевна</dc:creator>
  <cp:keywords/>
  <dc:description/>
  <cp:lastModifiedBy>Гагарина Татьяна Васильевна</cp:lastModifiedBy>
  <cp:revision>1</cp:revision>
  <dcterms:created xsi:type="dcterms:W3CDTF">2026-07-21T14:55:00Z</dcterms:created>
  <dcterms:modified xsi:type="dcterms:W3CDTF">2026-07-21T14:56:00Z</dcterms:modified>
</cp:coreProperties>
</file>