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4F" w:rsidRDefault="007F604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BA5C7F" w:rsidRPr="006B43F8" w:rsidRDefault="006B43F8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3F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7158F7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Лобня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BA5C7F" w:rsidRDefault="00D231E9" w:rsidP="00D231E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817714" w:rsidRPr="006B43F8" w:rsidRDefault="00E9748B" w:rsidP="00E974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17714" w:rsidRPr="006B43F8">
        <w:rPr>
          <w:rFonts w:ascii="Times New Roman" w:hAnsi="Times New Roman"/>
          <w:sz w:val="28"/>
          <w:szCs w:val="28"/>
        </w:rPr>
        <w:t>ОКЛАД,</w:t>
      </w:r>
    </w:p>
    <w:p w:rsidR="00817714" w:rsidRPr="006B43F8" w:rsidRDefault="00817714" w:rsidP="00E9748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B43F8">
        <w:rPr>
          <w:rFonts w:ascii="Times New Roman" w:hAnsi="Times New Roman"/>
          <w:sz w:val="28"/>
          <w:szCs w:val="28"/>
        </w:rPr>
        <w:t xml:space="preserve">содержащий результаты обобщения правоприменительной практики </w:t>
      </w:r>
      <w:r w:rsidRPr="006B43F8">
        <w:rPr>
          <w:rFonts w:ascii="Times New Roman" w:hAnsi="Times New Roman"/>
          <w:sz w:val="28"/>
          <w:szCs w:val="28"/>
        </w:rPr>
        <w:br/>
        <w:t xml:space="preserve">при осуществлении </w:t>
      </w:r>
      <w:r w:rsidR="00C4742C" w:rsidRPr="006B43F8">
        <w:rPr>
          <w:rFonts w:ascii="Times New Roman" w:hAnsi="Times New Roman"/>
          <w:sz w:val="28"/>
          <w:szCs w:val="28"/>
        </w:rPr>
        <w:t>муниципального</w:t>
      </w:r>
      <w:r w:rsidRPr="006B43F8">
        <w:rPr>
          <w:rFonts w:ascii="Times New Roman" w:hAnsi="Times New Roman"/>
          <w:sz w:val="28"/>
          <w:szCs w:val="28"/>
        </w:rPr>
        <w:t xml:space="preserve"> </w:t>
      </w:r>
      <w:r w:rsidR="007F0E6A">
        <w:rPr>
          <w:rFonts w:ascii="Times New Roman" w:hAnsi="Times New Roman"/>
          <w:sz w:val="28"/>
          <w:szCs w:val="28"/>
        </w:rPr>
        <w:t xml:space="preserve">жилищного </w:t>
      </w:r>
      <w:r w:rsidRPr="006B43F8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C4742C" w:rsidRPr="006B43F8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814BDB" w:rsidRPr="006B43F8">
        <w:rPr>
          <w:rFonts w:ascii="Times New Roman" w:hAnsi="Times New Roman"/>
          <w:sz w:val="28"/>
          <w:szCs w:val="28"/>
        </w:rPr>
        <w:t>Лобня</w:t>
      </w:r>
      <w:r w:rsidR="00C4742C" w:rsidRPr="006B43F8">
        <w:rPr>
          <w:rFonts w:ascii="Times New Roman" w:hAnsi="Times New Roman"/>
          <w:sz w:val="28"/>
          <w:szCs w:val="28"/>
        </w:rPr>
        <w:t xml:space="preserve"> </w:t>
      </w:r>
      <w:r w:rsidRPr="006B43F8">
        <w:rPr>
          <w:rFonts w:ascii="Times New Roman" w:hAnsi="Times New Roman"/>
          <w:sz w:val="28"/>
          <w:szCs w:val="28"/>
        </w:rPr>
        <w:t>Московской области, за 202</w:t>
      </w:r>
      <w:r w:rsidR="001A2687">
        <w:rPr>
          <w:rFonts w:ascii="Times New Roman" w:hAnsi="Times New Roman"/>
          <w:sz w:val="28"/>
          <w:szCs w:val="28"/>
        </w:rPr>
        <w:t>5</w:t>
      </w:r>
      <w:r w:rsidRPr="006B43F8">
        <w:rPr>
          <w:rFonts w:ascii="Times New Roman" w:hAnsi="Times New Roman"/>
          <w:sz w:val="28"/>
          <w:szCs w:val="28"/>
        </w:rPr>
        <w:t xml:space="preserve"> год</w:t>
      </w:r>
    </w:p>
    <w:p w:rsidR="00817714" w:rsidRDefault="007F0E6A" w:rsidP="007F0E6A">
      <w:pPr>
        <w:tabs>
          <w:tab w:val="left" w:pos="177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I. Правоприменительная практика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Доклад, содержащий результаты обобщения правоприменительной практики при</w:t>
      </w:r>
      <w:r w:rsidR="007E6044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осуществлении муниципального жилищного контроля на территории городского округа Лобня, за 202</w:t>
      </w:r>
      <w:r w:rsidR="007E6044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 подготовлен в соответствии со статьей 47 Федерального закона от 31.07.2020 № 248-ФЗ «О государственном контроле (надзоре) и муниципальном контроле в Российской Федерации», статьей 4 Положения «О муниципальном жилищном контроле на территории городского округа Лобня», утвержденного решением Совета депутатов городского округа Лобня Московской области от 10.11.2021 № 64/5 (далее – Положение о муниципальном жилищном контроле).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Целями проведения обобщения и анализа правоприменительной практики являются: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обеспечение единства практики применения контрольным органом законов и иных нормативных правовых актов Российской Федерации, законов и иных нормативных правовых актов Московской области, содержащих обязательные требования для</w:t>
      </w:r>
      <w:r w:rsidR="00AF339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контролируемых лиц;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выявление типичных нарушений обязательных требований, причин, факторов и</w:t>
      </w:r>
      <w:r w:rsidR="00AF339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условий, способствующих возникновению нарушений;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обеспечение доступности сведений о правоприменительной практике путем  их</w:t>
      </w:r>
      <w:r w:rsidR="00AF339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 xml:space="preserve">размещения (опубликования) на официальном сайте администрации </w:t>
      </w:r>
      <w:r w:rsidRPr="007F0E6A">
        <w:rPr>
          <w:rFonts w:ascii="Times New Roman" w:hAnsi="Times New Roman"/>
          <w:sz w:val="27"/>
          <w:szCs w:val="27"/>
        </w:rPr>
        <w:br/>
        <w:t>в информационно-телекоммуникационной сети Интернет;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совершенствование применения нормативных правовых актов для своевременного устранения устаревших, дублирующих и избыточных обязательных требований;</w:t>
      </w:r>
    </w:p>
    <w:p w:rsidR="007F0E6A" w:rsidRPr="007F0E6A" w:rsidRDefault="007F0E6A" w:rsidP="007F0E6A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подготовка предложений об актуализации обязательных требований.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Предметом муниципального жилищного контроля, в соответствии с частью 4 статьи 20 Жилищного кодекса Российской Федерации, является соблюдение юридическими лицами, индивидуальными предпринимателями и гражданами обязательных требований, указанных в пунктах 1 - 12 части 1 статьи 20 Жилищного кодекса, в отношении муниципального жилищного фонда, а именно: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</w:t>
      </w:r>
      <w:r w:rsidR="00AF339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 xml:space="preserve">содержанию общего имущества собственников помещений в многоквартирных домах, порядку осуществления перевода жилого помещения в нежилое помещение и нежилого </w:t>
      </w:r>
      <w:r w:rsidRPr="007F0E6A">
        <w:rPr>
          <w:rFonts w:ascii="Times New Roman" w:hAnsi="Times New Roman"/>
          <w:sz w:val="27"/>
          <w:szCs w:val="27"/>
        </w:rPr>
        <w:lastRenderedPageBreak/>
        <w:t>помещения в жилое в многоквартирном доме, порядку осуществления перепланировки и (или) переустройства помещений в многоквартирном доме;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2) требований к формированию фондов капитального ремонта;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4) требований к предоставлению коммунальных услуг собственникам </w:t>
      </w:r>
      <w:r w:rsidRPr="007F0E6A">
        <w:rPr>
          <w:rFonts w:ascii="Times New Roman" w:hAnsi="Times New Roman"/>
          <w:sz w:val="27"/>
          <w:szCs w:val="27"/>
        </w:rPr>
        <w:br/>
        <w:t>и пользователям помещений в многоквартирных домах и жилых домов;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5) правил изменения размера платы за содержание жилого помещения в случае оказания услуг и выполнения работ по управлению, содержанию и 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6) правил содержания общего имущества в многоквартирном доме и правил изменения размера платы за содержание жилого помещения;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7) правил предоставления, приостановки и ограничения предоставления коммунальных услуг собственникам и пользователям помещений в многоквартирных домах и жилых домов;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9) требований к порядку размещения </w:t>
      </w:r>
      <w:proofErr w:type="spellStart"/>
      <w:r w:rsidRPr="007F0E6A">
        <w:rPr>
          <w:rFonts w:ascii="Times New Roman" w:hAnsi="Times New Roman"/>
          <w:sz w:val="27"/>
          <w:szCs w:val="27"/>
        </w:rPr>
        <w:t>ресурсоснабжающими</w:t>
      </w:r>
      <w:proofErr w:type="spellEnd"/>
      <w:r w:rsidRPr="007F0E6A">
        <w:rPr>
          <w:rFonts w:ascii="Times New Roman" w:hAnsi="Times New Roman"/>
          <w:sz w:val="27"/>
          <w:szCs w:val="27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10) требований к обеспечению доступности для инвалидов помещений </w:t>
      </w:r>
      <w:r w:rsidRPr="007F0E6A">
        <w:rPr>
          <w:rFonts w:ascii="Times New Roman" w:hAnsi="Times New Roman"/>
          <w:sz w:val="27"/>
          <w:szCs w:val="27"/>
        </w:rPr>
        <w:br/>
        <w:t>в многоквартирных домах;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11) требований </w:t>
      </w:r>
      <w:r w:rsidR="0068268D">
        <w:rPr>
          <w:rFonts w:ascii="Times New Roman" w:hAnsi="Times New Roman"/>
          <w:sz w:val="27"/>
          <w:szCs w:val="27"/>
        </w:rPr>
        <w:t xml:space="preserve">к </w:t>
      </w:r>
      <w:r w:rsidRPr="007F0E6A">
        <w:rPr>
          <w:rFonts w:ascii="Times New Roman" w:hAnsi="Times New Roman"/>
          <w:sz w:val="27"/>
          <w:szCs w:val="27"/>
        </w:rPr>
        <w:t>предоставлению жилых помещений в наемных домах социального использования;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Контрольным (надзорным) органом, уполномоченным на осуществление муниципального жилищного контроля, согласно Положению о муниципальном жилищном контроле на территории городского округа Лобня, является </w:t>
      </w:r>
      <w:r w:rsidR="00AF339D">
        <w:rPr>
          <w:rFonts w:ascii="Times New Roman" w:hAnsi="Times New Roman"/>
          <w:sz w:val="27"/>
          <w:szCs w:val="27"/>
        </w:rPr>
        <w:t>А</w:t>
      </w:r>
      <w:r w:rsidRPr="007F0E6A">
        <w:rPr>
          <w:rFonts w:ascii="Times New Roman" w:hAnsi="Times New Roman"/>
          <w:sz w:val="27"/>
          <w:szCs w:val="27"/>
        </w:rPr>
        <w:t>дминистрация городского округа Лобня (далее – Администрация).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Объектами муниципального жилищного контроля являются: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- муниципальный жилищный фонд городского округа Лобня Московской области. 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Деятельность контрольного органа в рамках муниципального жилищного контроля направлена на предупреждение, выявление и пресечение нарушений обязательных требований посредством организации и проведения контрольных (надзорных) и</w:t>
      </w:r>
      <w:r w:rsidR="00A233E9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профилактических мероприятий.</w:t>
      </w: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31D75" w:rsidRDefault="00A31D75" w:rsidP="007F0E6A">
      <w:pPr>
        <w:tabs>
          <w:tab w:val="left" w:pos="567"/>
        </w:tabs>
        <w:spacing w:after="20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lastRenderedPageBreak/>
        <w:t>II. Проведение плановых и внеплановых контрольных (надзорных) мероприятиях, анализ результатов их проведения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Частью 7 статьи 20 Жилищного кодекса Российской Федерации установлен запрет на проведение плановых контрольных (надзорных) мероприятий при осуществлении государственного жилищного надзора, муниципального жилищного контроля в отношении жилых помещений, используемых гражданами.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На основании части 2 статьи 61 Федерального закона от 31.07.2020 № 248</w:t>
      </w:r>
      <w:r w:rsidR="00AF339D">
        <w:rPr>
          <w:rFonts w:ascii="Times New Roman" w:hAnsi="Times New Roman"/>
          <w:sz w:val="27"/>
          <w:szCs w:val="27"/>
        </w:rPr>
        <w:t xml:space="preserve"> </w:t>
      </w:r>
      <w:r w:rsidRPr="007F0E6A">
        <w:rPr>
          <w:rFonts w:ascii="Times New Roman" w:hAnsi="Times New Roman"/>
          <w:sz w:val="27"/>
          <w:szCs w:val="27"/>
        </w:rPr>
        <w:t>-</w:t>
      </w:r>
      <w:r w:rsidR="00AF339D">
        <w:rPr>
          <w:rFonts w:ascii="Times New Roman" w:hAnsi="Times New Roman"/>
          <w:sz w:val="27"/>
          <w:szCs w:val="27"/>
        </w:rPr>
        <w:t xml:space="preserve"> </w:t>
      </w:r>
      <w:r w:rsidRPr="007F0E6A">
        <w:rPr>
          <w:rFonts w:ascii="Times New Roman" w:hAnsi="Times New Roman"/>
          <w:sz w:val="27"/>
          <w:szCs w:val="27"/>
        </w:rPr>
        <w:t>ФЗ «О государственном контроле (надзоре) и муниципальном контроле в Российской Федерации» плановые контрольные (надзорные) мероприятия при осуществлении муниципального жилищного контроля на территории городского округа Лобня Московской области не проводятся.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связи с отсутствием оснований, установленных частью 1 статьи 57 Федерального закона от 31.07.2020 № 248-ФЗ «О государственном контроле (надзоре) и</w:t>
      </w:r>
      <w:r w:rsidR="00AF339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муниципальном контроле в Российской Федерации», внеплановые контрольные (надзорные) мероприятия в 2024 году не проводились.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I</w:t>
      </w:r>
      <w:r w:rsidRPr="007F0E6A">
        <w:rPr>
          <w:rFonts w:ascii="Times New Roman" w:hAnsi="Times New Roman"/>
          <w:b/>
          <w:sz w:val="27"/>
          <w:szCs w:val="27"/>
          <w:lang w:val="en-US"/>
        </w:rPr>
        <w:t>II</w:t>
      </w:r>
      <w:r w:rsidRPr="007F0E6A">
        <w:rPr>
          <w:rFonts w:ascii="Times New Roman" w:hAnsi="Times New Roman"/>
          <w:b/>
          <w:sz w:val="27"/>
          <w:szCs w:val="27"/>
        </w:rPr>
        <w:t>. Статистика и анализ причиненного ущерба охраняемым законом ценностям в результате нарушения обязательных требований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202</w:t>
      </w:r>
      <w:r w:rsidR="00A31D75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году в адрес контрольного органа не поступала официальная информация о случаях, повлекших причинение контролируемыми лицами вреда жизни и здоровью граждан или об угрозе причинения вреда жизни и здоровью граждан, а также</w:t>
      </w:r>
      <w:r w:rsidR="00A31D75">
        <w:rPr>
          <w:rFonts w:ascii="Times New Roman" w:hAnsi="Times New Roman"/>
          <w:sz w:val="27"/>
          <w:szCs w:val="27"/>
        </w:rPr>
        <w:t xml:space="preserve"> о </w:t>
      </w:r>
      <w:r w:rsidRPr="007F0E6A">
        <w:rPr>
          <w:rFonts w:ascii="Times New Roman" w:hAnsi="Times New Roman"/>
          <w:sz w:val="27"/>
          <w:szCs w:val="27"/>
        </w:rPr>
        <w:t>возникновении чрезвычайных ситуаций природного и техногенного характера.</w:t>
      </w: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  <w:lang w:val="en-US"/>
        </w:rPr>
        <w:t>I</w:t>
      </w:r>
      <w:r w:rsidRPr="007F0E6A">
        <w:rPr>
          <w:rFonts w:ascii="Times New Roman" w:hAnsi="Times New Roman"/>
          <w:b/>
          <w:sz w:val="27"/>
          <w:szCs w:val="27"/>
        </w:rPr>
        <w:t>V. Практика составления протоколов об административных правонарушениях, рассмотрения дел об административных правонарушениях, в</w:t>
      </w:r>
      <w:r w:rsidRPr="007F0E6A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7F0E6A">
        <w:rPr>
          <w:rFonts w:ascii="Times New Roman" w:hAnsi="Times New Roman"/>
          <w:b/>
          <w:sz w:val="27"/>
          <w:szCs w:val="27"/>
        </w:rPr>
        <w:t>том числе в случае отказа в привлечении контролируемых лиц, их должностных лиц к административной ответственности</w:t>
      </w: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По состоянию на 31 декабря 202</w:t>
      </w:r>
      <w:r w:rsidR="00DB16A0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года должностные лица контрольного органа не</w:t>
      </w:r>
      <w:r w:rsidR="00DB16A0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наделены законами Российской Федерации и законами Московской области полномочиями на составление протоколов об административных правонарушениях в</w:t>
      </w:r>
      <w:r w:rsidR="00DB16A0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сфере жилищных отношений, предусмотренных Кодексом Российской Федерации об административных правонарушениях и Законом Московской области от 04.05.2016 № 37/2016-ОЗ.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V. Практика обжалования решений, действий (бездействия) контрольно-надзорного органа и (или) его должностных лиц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в досудебном (внесудебном) и судебном порядке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Решения, действия (бездействие) должностных лиц при осуществлении муниципального жилищного контроля в досудебном и судебном порядке </w:t>
      </w:r>
      <w:r w:rsidRPr="007F0E6A">
        <w:rPr>
          <w:rFonts w:ascii="Times New Roman" w:hAnsi="Times New Roman"/>
          <w:sz w:val="27"/>
          <w:szCs w:val="27"/>
        </w:rPr>
        <w:br/>
        <w:t>не обжаловались.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B12FAB" w:rsidRDefault="00B12FAB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12FAB" w:rsidRDefault="00B12FAB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12FAB" w:rsidRDefault="00B12FAB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AF33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lastRenderedPageBreak/>
        <w:t>VI. Исполнение предписаний, выданных контролируемым лицам по результатам проведения контрольных (надзорных) мероприятий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202</w:t>
      </w:r>
      <w:r w:rsidR="00B12FAB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году предписания об устранении выявленных нарушений обязательных требований контролируемым лицам по результатам проведения контрольных (надзорных) мероприятий не выдавались ввиду отсутствия оснований.</w:t>
      </w:r>
    </w:p>
    <w:p w:rsidR="00B12FAB" w:rsidRPr="007F0E6A" w:rsidRDefault="00B12FAB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 xml:space="preserve">VII. Случаи объявления предостережений 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о недопустимости нарушения обязательных требований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202</w:t>
      </w:r>
      <w:r w:rsidR="00B12FAB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году предостережения о недопустимости нарушений обязательных требований нанимателям муниципальных жилых помещений и членам </w:t>
      </w:r>
      <w:r w:rsidRPr="007F0E6A">
        <w:rPr>
          <w:rFonts w:ascii="Times New Roman" w:hAnsi="Times New Roman"/>
          <w:sz w:val="27"/>
          <w:szCs w:val="27"/>
        </w:rPr>
        <w:br/>
        <w:t>их семей, и юридическим лицам, по основаниям, предусмотренным частью 1 статьи 49 Федерального закона от 31.07.2020 № 248-ФЗ «О государственном контроле (надзоре) и</w:t>
      </w:r>
      <w:r w:rsidR="00B12FAB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муниципальном контроле в Российской Федерации», не выдавались.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  <w:lang w:val="en-US"/>
        </w:rPr>
        <w:t>V</w:t>
      </w:r>
      <w:r w:rsidRPr="007F0E6A">
        <w:rPr>
          <w:rFonts w:ascii="Times New Roman" w:hAnsi="Times New Roman"/>
          <w:b/>
          <w:sz w:val="27"/>
          <w:szCs w:val="27"/>
        </w:rPr>
        <w:t>I</w:t>
      </w:r>
      <w:r w:rsidRPr="007F0E6A">
        <w:rPr>
          <w:rFonts w:ascii="Times New Roman" w:hAnsi="Times New Roman"/>
          <w:b/>
          <w:sz w:val="27"/>
          <w:szCs w:val="27"/>
          <w:lang w:val="en-US"/>
        </w:rPr>
        <w:t>II</w:t>
      </w:r>
      <w:r w:rsidRPr="007F0E6A">
        <w:rPr>
          <w:rFonts w:ascii="Times New Roman" w:hAnsi="Times New Roman"/>
          <w:b/>
          <w:sz w:val="27"/>
          <w:szCs w:val="27"/>
        </w:rPr>
        <w:t>. Профилактические мероприятия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целях стимулирования добросовестного соблюдения обязательных требований контролируемыми лицами, устранения условий, причин и факторов, способных привести к нарушениям обязательных требований и (или) причинению вреда (ущерба) охраняемым законом ценностям, и доведения обязательных требований до</w:t>
      </w:r>
      <w:r w:rsidR="007D2035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контролируемых лиц, способов их соблюдения, контрольным органом осуществлялись профилактические мероприятия, направленные на снижение риска причинения вреда (ущерба) и являющиеся приоритетными по отношении к проведению контрольных (надзорных) мероприятий.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При осуществлении муниципального жилищного контроля могут проводиться следующие виды профилактических мероприятий: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информирование по вопросам соблюдения обязательных требований;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обобщение правоприменительной практики;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объявление предостережений о недопустимости нарушения обязательных требований с предложением принять меры по обеспечению соблюдения обязательных требований;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консультирование при обращении контролируемых лиц и их представителей по</w:t>
      </w:r>
      <w:r w:rsidR="003109BD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>вопросам, связанным с организацией и осуществлением муниципального контроля;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- профилактический визит по месту осуществления деятельности контролируемого лица либо путем использования видео-конференц-связи.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В 202</w:t>
      </w:r>
      <w:r w:rsidR="003109BD">
        <w:rPr>
          <w:rFonts w:ascii="Times New Roman" w:hAnsi="Times New Roman"/>
          <w:sz w:val="27"/>
          <w:szCs w:val="27"/>
        </w:rPr>
        <w:t>5</w:t>
      </w:r>
      <w:r w:rsidRPr="007F0E6A">
        <w:rPr>
          <w:rFonts w:ascii="Times New Roman" w:hAnsi="Times New Roman"/>
          <w:sz w:val="27"/>
          <w:szCs w:val="27"/>
        </w:rPr>
        <w:t xml:space="preserve"> году в рамках муниципального жилищного контроля осуществлялось информирование контролируемых лиц и иных заинтересованных лиц по вопросам соблюдения обязательных требований.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На официальном сайте Администрации размещены и поддерживаются </w:t>
      </w:r>
      <w:r w:rsidRPr="007F0E6A">
        <w:rPr>
          <w:rFonts w:ascii="Times New Roman" w:hAnsi="Times New Roman"/>
          <w:sz w:val="27"/>
          <w:szCs w:val="27"/>
        </w:rPr>
        <w:br/>
        <w:t>в актуальном состоянии: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 xml:space="preserve">тексты нормативных правовых актов, регулирующих осуществление муниципального жилищного контроля и сведения об изменениях, внесенных </w:t>
      </w:r>
      <w:r w:rsidRPr="007F0E6A">
        <w:rPr>
          <w:rFonts w:ascii="Times New Roman" w:hAnsi="Times New Roman"/>
          <w:sz w:val="27"/>
          <w:szCs w:val="27"/>
        </w:rPr>
        <w:br/>
        <w:t>в нормативные правовые акты, регулирующие осуществление муниципального жилищного контроля;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перечень нормативных правовых актов с указанием структурных единиц этих</w:t>
      </w:r>
      <w:r w:rsidR="007D2035">
        <w:rPr>
          <w:rFonts w:ascii="Times New Roman" w:hAnsi="Times New Roman"/>
          <w:sz w:val="27"/>
          <w:szCs w:val="27"/>
        </w:rPr>
        <w:t> </w:t>
      </w:r>
      <w:bookmarkStart w:id="0" w:name="_GoBack"/>
      <w:bookmarkEnd w:id="0"/>
      <w:r w:rsidRPr="007F0E6A">
        <w:rPr>
          <w:rFonts w:ascii="Times New Roman" w:hAnsi="Times New Roman"/>
          <w:sz w:val="27"/>
          <w:szCs w:val="27"/>
        </w:rPr>
        <w:t>актов, содержащих обязательные требования, оценка соблюдения которых является предметом муниципального жилищного контроля;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lastRenderedPageBreak/>
        <w:t>сведения о способах получения консультаций по вопросам соблюдения обязательных требований;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0E6A">
        <w:rPr>
          <w:rFonts w:ascii="Times New Roman" w:hAnsi="Times New Roman"/>
          <w:sz w:val="27"/>
          <w:szCs w:val="27"/>
        </w:rPr>
        <w:t>сведения о порядке досудебного обжалования решений контрольного органа, действий (бездействия) его должностных лиц;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7F0E6A">
        <w:rPr>
          <w:rFonts w:ascii="Times New Roman" w:hAnsi="Times New Roman"/>
          <w:sz w:val="27"/>
          <w:szCs w:val="27"/>
        </w:rPr>
        <w:t>информация о мерах ответственности</w:t>
      </w:r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применяемых при нарушении обязательных требований;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информация о руководствах по соблюдению обязательных требований, разработанных и утвержденных в соответствии с Федеральным </w:t>
      </w:r>
      <w:hyperlink r:id="rId7" w:anchor="dst100101" w:history="1">
        <w:r w:rsidRPr="007F0E6A">
          <w:rPr>
            <w:rFonts w:ascii="Times New Roman" w:hAnsi="Times New Roman"/>
            <w:color w:val="000000"/>
            <w:sz w:val="27"/>
            <w:szCs w:val="27"/>
            <w:shd w:val="clear" w:color="auto" w:fill="FFFFFF"/>
          </w:rPr>
          <w:t>законом</w:t>
        </w:r>
      </w:hyperlink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«Об обязательных требованиях в Российской Федерации»;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7F0E6A" w:rsidRP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исчерпывающий </w:t>
      </w:r>
      <w:hyperlink r:id="rId8" w:anchor="dst101019" w:history="1">
        <w:r w:rsidRPr="007F0E6A">
          <w:rPr>
            <w:rFonts w:ascii="Times New Roman" w:hAnsi="Times New Roman"/>
            <w:color w:val="000000"/>
            <w:sz w:val="27"/>
            <w:szCs w:val="27"/>
            <w:shd w:val="clear" w:color="auto" w:fill="FFFFFF"/>
          </w:rPr>
          <w:t>перечень</w:t>
        </w:r>
      </w:hyperlink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 сведений, которые могут запрашиваться контрольным (надзорным) органом у контролируемого лица;</w:t>
      </w:r>
    </w:p>
    <w:p w:rsidR="007F0E6A" w:rsidRDefault="007F0E6A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7F0E6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сведения о применении контрольным (надзорным) органом мер стимулирования добр</w:t>
      </w:r>
      <w:r w:rsidR="009A51D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осовестности контролируемых лиц.</w:t>
      </w:r>
    </w:p>
    <w:p w:rsidR="009A51D5" w:rsidRPr="007F0E6A" w:rsidRDefault="009A51D5" w:rsidP="007F0E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7F0E6A" w:rsidRPr="007F0E6A" w:rsidRDefault="007F0E6A" w:rsidP="009A51D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  <w:lang w:val="en-US"/>
        </w:rPr>
        <w:t>I</w:t>
      </w:r>
      <w:r w:rsidRPr="007F0E6A">
        <w:rPr>
          <w:rFonts w:ascii="Times New Roman" w:hAnsi="Times New Roman"/>
          <w:b/>
          <w:sz w:val="27"/>
          <w:szCs w:val="27"/>
        </w:rPr>
        <w:t>X. Предложения об актуализации обязательных требований и необходимости внесения изменений в законодательство</w:t>
      </w:r>
    </w:p>
    <w:p w:rsidR="007F0E6A" w:rsidRPr="007F0E6A" w:rsidRDefault="007F0E6A" w:rsidP="007F0E6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F0E6A">
        <w:rPr>
          <w:rFonts w:ascii="Times New Roman" w:hAnsi="Times New Roman"/>
          <w:b/>
          <w:sz w:val="27"/>
          <w:szCs w:val="27"/>
        </w:rPr>
        <w:t>Российской Федерации о государственном контроле (надзоре) и муниципальном контроле</w:t>
      </w:r>
    </w:p>
    <w:p w:rsidR="007F0E6A" w:rsidRPr="007F0E6A" w:rsidRDefault="007F0E6A" w:rsidP="007F0E6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0E6A" w:rsidRPr="00D34D88" w:rsidRDefault="007F0E6A" w:rsidP="009A51D5">
      <w:pPr>
        <w:tabs>
          <w:tab w:val="left" w:pos="177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0E6A">
        <w:rPr>
          <w:rFonts w:ascii="Times New Roman" w:hAnsi="Times New Roman"/>
          <w:sz w:val="27"/>
          <w:szCs w:val="27"/>
        </w:rPr>
        <w:t>Разработка и утверждение на законодательном уровне критериев оценки причиненного вреда охраняемым законом ценностям в сфере жилищного контроля позволит создать механизм разграничения в принятии решений органом местного самоуправления между применением процедур муниципального жилищного контроля и</w:t>
      </w:r>
      <w:r w:rsidR="009A51D5">
        <w:rPr>
          <w:rFonts w:ascii="Times New Roman" w:hAnsi="Times New Roman"/>
          <w:sz w:val="27"/>
          <w:szCs w:val="27"/>
        </w:rPr>
        <w:t> </w:t>
      </w:r>
      <w:r w:rsidRPr="007F0E6A">
        <w:rPr>
          <w:rFonts w:ascii="Times New Roman" w:hAnsi="Times New Roman"/>
          <w:sz w:val="27"/>
          <w:szCs w:val="27"/>
        </w:rPr>
        <w:t xml:space="preserve">исполнением полномочий </w:t>
      </w:r>
      <w:proofErr w:type="spellStart"/>
      <w:r w:rsidRPr="007F0E6A">
        <w:rPr>
          <w:rFonts w:ascii="Times New Roman" w:hAnsi="Times New Roman"/>
          <w:sz w:val="27"/>
          <w:szCs w:val="27"/>
        </w:rPr>
        <w:t>наймодателя</w:t>
      </w:r>
      <w:proofErr w:type="spellEnd"/>
      <w:r w:rsidRPr="007F0E6A">
        <w:rPr>
          <w:rFonts w:ascii="Times New Roman" w:hAnsi="Times New Roman"/>
          <w:sz w:val="27"/>
          <w:szCs w:val="27"/>
        </w:rPr>
        <w:t xml:space="preserve"> как собственника муниципальных жилых помещений, </w:t>
      </w:r>
      <w:r w:rsidR="003C1E3A">
        <w:rPr>
          <w:rFonts w:ascii="Times New Roman" w:hAnsi="Times New Roman"/>
          <w:sz w:val="27"/>
          <w:szCs w:val="27"/>
        </w:rPr>
        <w:t>а также обеспечит исключение дублирования функций.</w:t>
      </w:r>
    </w:p>
    <w:sectPr w:rsidR="007F0E6A" w:rsidRPr="00D34D88" w:rsidSect="00AE4AD2">
      <w:head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F5" w:rsidRDefault="00004AF5">
      <w:pPr>
        <w:spacing w:after="0" w:line="240" w:lineRule="auto"/>
      </w:pPr>
      <w:r>
        <w:separator/>
      </w:r>
    </w:p>
  </w:endnote>
  <w:endnote w:type="continuationSeparator" w:id="0">
    <w:p w:rsidR="00004AF5" w:rsidRDefault="0000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F5" w:rsidRDefault="00004AF5">
      <w:pPr>
        <w:spacing w:after="0" w:line="240" w:lineRule="auto"/>
      </w:pPr>
      <w:r>
        <w:separator/>
      </w:r>
    </w:p>
  </w:footnote>
  <w:footnote w:type="continuationSeparator" w:id="0">
    <w:p w:rsidR="00004AF5" w:rsidRDefault="0000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7D2035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004AF5"/>
    <w:rsid w:val="00005C9E"/>
    <w:rsid w:val="00020C4F"/>
    <w:rsid w:val="0002796A"/>
    <w:rsid w:val="00045F19"/>
    <w:rsid w:val="0004614B"/>
    <w:rsid w:val="000A69D6"/>
    <w:rsid w:val="000D66E6"/>
    <w:rsid w:val="00106388"/>
    <w:rsid w:val="0012651E"/>
    <w:rsid w:val="00131B92"/>
    <w:rsid w:val="00166603"/>
    <w:rsid w:val="00177018"/>
    <w:rsid w:val="00183C67"/>
    <w:rsid w:val="001A2687"/>
    <w:rsid w:val="001A3718"/>
    <w:rsid w:val="001A5863"/>
    <w:rsid w:val="001B3017"/>
    <w:rsid w:val="001B6EAC"/>
    <w:rsid w:val="002079FF"/>
    <w:rsid w:val="00217C13"/>
    <w:rsid w:val="00265EFA"/>
    <w:rsid w:val="002713C7"/>
    <w:rsid w:val="002768A5"/>
    <w:rsid w:val="002B115B"/>
    <w:rsid w:val="00306A5C"/>
    <w:rsid w:val="003109BD"/>
    <w:rsid w:val="0035281A"/>
    <w:rsid w:val="00357B5C"/>
    <w:rsid w:val="003711B8"/>
    <w:rsid w:val="00371AB2"/>
    <w:rsid w:val="003A4E4A"/>
    <w:rsid w:val="003B599A"/>
    <w:rsid w:val="003B5B88"/>
    <w:rsid w:val="003C1E3A"/>
    <w:rsid w:val="003C75ED"/>
    <w:rsid w:val="00435DE3"/>
    <w:rsid w:val="00444F01"/>
    <w:rsid w:val="004465F2"/>
    <w:rsid w:val="0044743E"/>
    <w:rsid w:val="0049133E"/>
    <w:rsid w:val="004A1D7E"/>
    <w:rsid w:val="004A2046"/>
    <w:rsid w:val="004A6583"/>
    <w:rsid w:val="004C653B"/>
    <w:rsid w:val="00513946"/>
    <w:rsid w:val="00545163"/>
    <w:rsid w:val="0055425A"/>
    <w:rsid w:val="005C085D"/>
    <w:rsid w:val="00611F23"/>
    <w:rsid w:val="00620141"/>
    <w:rsid w:val="00627263"/>
    <w:rsid w:val="00631C70"/>
    <w:rsid w:val="0066214A"/>
    <w:rsid w:val="00662AB9"/>
    <w:rsid w:val="00675449"/>
    <w:rsid w:val="00680BCB"/>
    <w:rsid w:val="00681DB7"/>
    <w:rsid w:val="0068268D"/>
    <w:rsid w:val="00691244"/>
    <w:rsid w:val="006A7FF8"/>
    <w:rsid w:val="006B43F8"/>
    <w:rsid w:val="006F3E65"/>
    <w:rsid w:val="007158F7"/>
    <w:rsid w:val="00724AAF"/>
    <w:rsid w:val="00770B23"/>
    <w:rsid w:val="00782D94"/>
    <w:rsid w:val="007848AD"/>
    <w:rsid w:val="007D2035"/>
    <w:rsid w:val="007D7A0F"/>
    <w:rsid w:val="007E6044"/>
    <w:rsid w:val="007F0E6A"/>
    <w:rsid w:val="007F604F"/>
    <w:rsid w:val="00807CE2"/>
    <w:rsid w:val="00814362"/>
    <w:rsid w:val="00814BDB"/>
    <w:rsid w:val="00817504"/>
    <w:rsid w:val="00817714"/>
    <w:rsid w:val="00817C42"/>
    <w:rsid w:val="008238D2"/>
    <w:rsid w:val="00857EE7"/>
    <w:rsid w:val="008844DC"/>
    <w:rsid w:val="00884C47"/>
    <w:rsid w:val="008B788B"/>
    <w:rsid w:val="008C3361"/>
    <w:rsid w:val="008C66D6"/>
    <w:rsid w:val="00951F77"/>
    <w:rsid w:val="009A51D5"/>
    <w:rsid w:val="00A05B7D"/>
    <w:rsid w:val="00A233E9"/>
    <w:rsid w:val="00A31D75"/>
    <w:rsid w:val="00A511B6"/>
    <w:rsid w:val="00A6152F"/>
    <w:rsid w:val="00AA15B2"/>
    <w:rsid w:val="00AE4AD2"/>
    <w:rsid w:val="00AF339D"/>
    <w:rsid w:val="00B04488"/>
    <w:rsid w:val="00B10FC1"/>
    <w:rsid w:val="00B126D0"/>
    <w:rsid w:val="00B12FAB"/>
    <w:rsid w:val="00B224A6"/>
    <w:rsid w:val="00B420D7"/>
    <w:rsid w:val="00B643FD"/>
    <w:rsid w:val="00B8094C"/>
    <w:rsid w:val="00BA5C7F"/>
    <w:rsid w:val="00BB02A5"/>
    <w:rsid w:val="00BB11EF"/>
    <w:rsid w:val="00BB2689"/>
    <w:rsid w:val="00C12351"/>
    <w:rsid w:val="00C166F1"/>
    <w:rsid w:val="00C4742C"/>
    <w:rsid w:val="00C74EC7"/>
    <w:rsid w:val="00CC20E1"/>
    <w:rsid w:val="00CC5EE2"/>
    <w:rsid w:val="00CF38C4"/>
    <w:rsid w:val="00D17925"/>
    <w:rsid w:val="00D231E9"/>
    <w:rsid w:val="00D5063F"/>
    <w:rsid w:val="00D9014D"/>
    <w:rsid w:val="00DB16A0"/>
    <w:rsid w:val="00E012A7"/>
    <w:rsid w:val="00E349D6"/>
    <w:rsid w:val="00E44785"/>
    <w:rsid w:val="00E4524A"/>
    <w:rsid w:val="00E511A0"/>
    <w:rsid w:val="00E666E3"/>
    <w:rsid w:val="00E872A8"/>
    <w:rsid w:val="00E9748B"/>
    <w:rsid w:val="00E97747"/>
    <w:rsid w:val="00EA43C2"/>
    <w:rsid w:val="00EE0D77"/>
    <w:rsid w:val="00F21E9B"/>
    <w:rsid w:val="00F73E70"/>
    <w:rsid w:val="00FB490E"/>
    <w:rsid w:val="00FC154A"/>
    <w:rsid w:val="00FC704A"/>
    <w:rsid w:val="00FF0B26"/>
    <w:rsid w:val="00FF154A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5EF"/>
  <w15:docId w15:val="{E26B37A4-7C7D-4E08-B4B6-C737855A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33E"/>
    <w:rPr>
      <w:rFonts w:ascii="Segoe UI" w:eastAsia="Calibr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BB26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B268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27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32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185/818c0d9e40d63a2b111abf971bd68a59cb7006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3D1F-DBF6-42BD-B801-341A94BF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Гагарина Татьяна Васильевна</cp:lastModifiedBy>
  <cp:revision>57</cp:revision>
  <cp:lastPrinted>2023-05-29T06:35:00Z</cp:lastPrinted>
  <dcterms:created xsi:type="dcterms:W3CDTF">2026-06-26T08:31:00Z</dcterms:created>
  <dcterms:modified xsi:type="dcterms:W3CDTF">2026-06-30T13:28:00Z</dcterms:modified>
</cp:coreProperties>
</file>